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国家</w:t>
      </w:r>
      <w:r>
        <w:rPr>
          <w:rFonts w:hint="eastAsia"/>
          <w:b/>
          <w:bCs/>
          <w:sz w:val="28"/>
          <w:szCs w:val="28"/>
        </w:rPr>
        <w:t>级一流课程评审指标</w:t>
      </w:r>
    </w:p>
    <w:p>
      <w:pPr>
        <w:rPr>
          <w:rFonts w:hint="default"/>
          <w:b/>
          <w:bCs/>
          <w:sz w:val="28"/>
          <w:szCs w:val="28"/>
        </w:rPr>
      </w:pPr>
      <w:r>
        <w:rPr>
          <w:rFonts w:hint="eastAsia"/>
          <w:b/>
          <w:bCs/>
          <w:sz w:val="28"/>
          <w:szCs w:val="28"/>
          <w:lang w:val="en-US" w:eastAsia="zh-CN"/>
        </w:rPr>
        <w:t xml:space="preserve">01 </w:t>
      </w:r>
      <w:r>
        <w:rPr>
          <w:b/>
          <w:bCs/>
          <w:sz w:val="28"/>
          <w:szCs w:val="28"/>
        </w:rPr>
        <w:t>线上一流课程评审指标</w:t>
      </w:r>
    </w:p>
    <w:p>
      <w:pPr>
        <w:rPr>
          <w:rFonts w:hint="default"/>
          <w:b/>
          <w:bCs/>
          <w:sz w:val="24"/>
          <w:szCs w:val="24"/>
        </w:rPr>
      </w:pPr>
      <w:r>
        <w:rPr>
          <w:rFonts w:hint="eastAsia"/>
          <w:b/>
          <w:bCs/>
          <w:sz w:val="24"/>
          <w:szCs w:val="24"/>
        </w:rPr>
        <w:t>1否决性指标</w:t>
      </w:r>
    </w:p>
    <w:tbl>
      <w:tblPr>
        <w:tblStyle w:val="4"/>
        <w:tblW w:w="9875" w:type="dxa"/>
        <w:tblInd w:w="-7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0" w:type="dxa"/>
          <w:bottom w:w="0" w:type="dxa"/>
          <w:right w:w="0" w:type="dxa"/>
        </w:tblCellMar>
      </w:tblPr>
      <w:tblGrid>
        <w:gridCol w:w="1675"/>
        <w:gridCol w:w="8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75" w:type="dxa"/>
            <w:tcBorders>
              <w:top w:val="single" w:color="auto" w:sz="6" w:space="0"/>
              <w:left w:val="single" w:color="auto" w:sz="6" w:space="0"/>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项</w:t>
            </w:r>
          </w:p>
        </w:tc>
        <w:tc>
          <w:tcPr>
            <w:tcW w:w="8200" w:type="dxa"/>
            <w:tcBorders>
              <w:top w:val="single" w:color="auto" w:sz="6" w:space="0"/>
              <w:left w:val="nil"/>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c>
          <w:tcPr>
            <w:tcW w:w="1675" w:type="dxa"/>
            <w:tcBorders>
              <w:top w:val="nil"/>
              <w:left w:val="single" w:color="auto" w:sz="6" w:space="0"/>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平台资格</w:t>
            </w:r>
          </w:p>
        </w:tc>
        <w:tc>
          <w:tcPr>
            <w:tcW w:w="8200" w:type="dxa"/>
            <w:tcBorders>
              <w:top w:val="nil"/>
              <w:left w:val="nil"/>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1、无工信部ICP网站备案、无公安机关网站备案号、无信息安全二级以上等级保护证书</w:t>
            </w:r>
          </w:p>
          <w:p>
            <w:pPr>
              <w:rPr>
                <w:rFonts w:hint="eastAsia" w:ascii="仿宋" w:hAnsi="仿宋" w:eastAsia="仿宋" w:cs="仿宋"/>
                <w:sz w:val="21"/>
                <w:szCs w:val="21"/>
              </w:rPr>
            </w:pPr>
            <w:r>
              <w:rPr>
                <w:rFonts w:hint="eastAsia" w:ascii="仿宋" w:hAnsi="仿宋" w:eastAsia="仿宋" w:cs="仿宋"/>
                <w:sz w:val="21"/>
                <w:szCs w:val="21"/>
              </w:rPr>
              <w:t>2、非面向社会或高校开放平台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c>
          <w:tcPr>
            <w:tcW w:w="1675" w:type="dxa"/>
            <w:tcBorders>
              <w:top w:val="nil"/>
              <w:left w:val="single" w:color="auto" w:sz="6" w:space="0"/>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课程资格</w:t>
            </w:r>
          </w:p>
        </w:tc>
        <w:tc>
          <w:tcPr>
            <w:tcW w:w="8200" w:type="dxa"/>
            <w:tcBorders>
              <w:top w:val="nil"/>
              <w:left w:val="nil"/>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1、申报材料不齐备</w:t>
            </w:r>
          </w:p>
          <w:p>
            <w:pPr>
              <w:rPr>
                <w:rFonts w:hint="eastAsia" w:ascii="仿宋" w:hAnsi="仿宋" w:eastAsia="仿宋" w:cs="仿宋"/>
                <w:sz w:val="21"/>
                <w:szCs w:val="21"/>
              </w:rPr>
            </w:pPr>
            <w:r>
              <w:rPr>
                <w:rFonts w:hint="eastAsia" w:ascii="仿宋" w:hAnsi="仿宋" w:eastAsia="仿宋" w:cs="仿宋"/>
                <w:sz w:val="21"/>
                <w:szCs w:val="21"/>
              </w:rPr>
              <w:t>2、课程无法登录或无法打开</w:t>
            </w:r>
          </w:p>
          <w:p>
            <w:pPr>
              <w:rPr>
                <w:rFonts w:hint="eastAsia" w:ascii="仿宋" w:hAnsi="仿宋" w:eastAsia="仿宋" w:cs="仿宋"/>
                <w:sz w:val="21"/>
                <w:szCs w:val="21"/>
              </w:rPr>
            </w:pPr>
            <w:r>
              <w:rPr>
                <w:rFonts w:hint="eastAsia" w:ascii="仿宋" w:hAnsi="仿宋" w:eastAsia="仿宋" w:cs="仿宋"/>
                <w:sz w:val="21"/>
                <w:szCs w:val="21"/>
              </w:rPr>
              <w:t>3、无法显示完整内容和教学活动</w:t>
            </w:r>
          </w:p>
          <w:p>
            <w:pPr>
              <w:rPr>
                <w:rFonts w:hint="eastAsia" w:ascii="仿宋" w:hAnsi="仿宋" w:eastAsia="仿宋" w:cs="仿宋"/>
                <w:sz w:val="21"/>
                <w:szCs w:val="21"/>
              </w:rPr>
            </w:pPr>
            <w:r>
              <w:rPr>
                <w:rFonts w:hint="eastAsia" w:ascii="仿宋" w:hAnsi="仿宋" w:eastAsia="仿宋" w:cs="仿宋"/>
                <w:sz w:val="21"/>
                <w:szCs w:val="21"/>
              </w:rPr>
              <w:t>4、非慕课</w:t>
            </w:r>
          </w:p>
          <w:p>
            <w:pPr>
              <w:rPr>
                <w:rFonts w:hint="eastAsia" w:ascii="仿宋" w:hAnsi="仿宋" w:eastAsia="仿宋" w:cs="仿宋"/>
                <w:sz w:val="21"/>
                <w:szCs w:val="21"/>
              </w:rPr>
            </w:pPr>
            <w:r>
              <w:rPr>
                <w:rFonts w:hint="eastAsia" w:ascii="仿宋" w:hAnsi="仿宋" w:eastAsia="仿宋" w:cs="仿宋"/>
                <w:sz w:val="21"/>
                <w:szCs w:val="21"/>
              </w:rPr>
              <w:t>5、非本科/高职/专科教育课程</w:t>
            </w:r>
          </w:p>
          <w:p>
            <w:pPr>
              <w:rPr>
                <w:rFonts w:hint="eastAsia" w:ascii="仿宋" w:hAnsi="仿宋" w:eastAsia="仿宋" w:cs="仿宋"/>
                <w:sz w:val="21"/>
                <w:szCs w:val="21"/>
              </w:rPr>
            </w:pPr>
            <w:r>
              <w:rPr>
                <w:rFonts w:hint="eastAsia" w:ascii="仿宋" w:hAnsi="仿宋" w:eastAsia="仿宋" w:cs="仿宋"/>
                <w:sz w:val="21"/>
                <w:szCs w:val="21"/>
              </w:rPr>
              <w:t>6、开设时间或期数不符合申报要求</w:t>
            </w:r>
          </w:p>
          <w:p>
            <w:pPr>
              <w:rPr>
                <w:rFonts w:hint="eastAsia" w:ascii="仿宋" w:hAnsi="仿宋" w:eastAsia="仿宋" w:cs="仿宋"/>
                <w:sz w:val="21"/>
                <w:szCs w:val="21"/>
              </w:rPr>
            </w:pPr>
            <w:r>
              <w:rPr>
                <w:rFonts w:hint="eastAsia" w:ascii="仿宋" w:hAnsi="仿宋" w:eastAsia="仿宋" w:cs="仿宋"/>
                <w:sz w:val="21"/>
                <w:szCs w:val="21"/>
              </w:rPr>
              <w:t>7、教师无在线教学服务</w:t>
            </w:r>
          </w:p>
          <w:p>
            <w:pPr>
              <w:rPr>
                <w:rFonts w:hint="eastAsia" w:ascii="仿宋" w:hAnsi="仿宋" w:eastAsia="仿宋" w:cs="仿宋"/>
                <w:sz w:val="21"/>
                <w:szCs w:val="21"/>
              </w:rPr>
            </w:pPr>
            <w:r>
              <w:rPr>
                <w:rFonts w:hint="eastAsia" w:ascii="仿宋" w:hAnsi="仿宋" w:eastAsia="仿宋" w:cs="仿宋"/>
                <w:sz w:val="21"/>
                <w:szCs w:val="21"/>
              </w:rPr>
              <w:t>8、负责人非申报高校正式聘任教师</w:t>
            </w:r>
          </w:p>
          <w:p>
            <w:pPr>
              <w:rPr>
                <w:rFonts w:hint="eastAsia" w:ascii="仿宋" w:hAnsi="仿宋" w:eastAsia="仿宋" w:cs="仿宋"/>
                <w:sz w:val="21"/>
                <w:szCs w:val="21"/>
              </w:rPr>
            </w:pPr>
            <w:r>
              <w:rPr>
                <w:rFonts w:hint="eastAsia" w:ascii="仿宋" w:hAnsi="仿宋" w:eastAsia="仿宋" w:cs="仿宋"/>
                <w:sz w:val="21"/>
                <w:szCs w:val="21"/>
              </w:rPr>
              <w:t>9、存在思想性或较严重的科学性问题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75" w:type="dxa"/>
            <w:tcBorders>
              <w:top w:val="nil"/>
              <w:left w:val="single" w:color="auto" w:sz="6" w:space="0"/>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造假、侵权</w:t>
            </w:r>
          </w:p>
        </w:tc>
        <w:tc>
          <w:tcPr>
            <w:tcW w:w="8200" w:type="dxa"/>
            <w:tcBorders>
              <w:top w:val="nil"/>
              <w:left w:val="nil"/>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1、材料、数据造假</w:t>
            </w:r>
          </w:p>
          <w:p>
            <w:pPr>
              <w:rPr>
                <w:rFonts w:hint="eastAsia" w:ascii="仿宋" w:hAnsi="仿宋" w:eastAsia="仿宋" w:cs="仿宋"/>
                <w:sz w:val="21"/>
                <w:szCs w:val="21"/>
              </w:rPr>
            </w:pPr>
            <w:r>
              <w:rPr>
                <w:rFonts w:hint="eastAsia" w:ascii="仿宋" w:hAnsi="仿宋" w:eastAsia="仿宋" w:cs="仿宋"/>
                <w:sz w:val="21"/>
                <w:szCs w:val="21"/>
              </w:rPr>
              <w:t>2、发现且确认有侵权现象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c>
          <w:tcPr>
            <w:tcW w:w="1675" w:type="dxa"/>
            <w:tcBorders>
              <w:top w:val="nil"/>
              <w:left w:val="single" w:color="auto" w:sz="6" w:space="0"/>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不适合网络传播</w:t>
            </w:r>
          </w:p>
        </w:tc>
        <w:tc>
          <w:tcPr>
            <w:tcW w:w="8200" w:type="dxa"/>
            <w:tcBorders>
              <w:top w:val="nil"/>
              <w:left w:val="nil"/>
              <w:bottom w:val="single" w:color="auto" w:sz="6" w:space="0"/>
              <w:right w:val="single" w:color="auto" w:sz="6" w:space="0"/>
            </w:tcBorders>
            <w:shd w:val="clear" w:color="auto" w:fill="FFFFFF" w:themeFill="background1"/>
            <w:tcMar>
              <w:left w:w="75" w:type="dxa"/>
              <w:right w:w="75" w:type="dxa"/>
            </w:tcMar>
            <w:vAlign w:val="top"/>
          </w:tcPr>
          <w:p>
            <w:pPr>
              <w:rPr>
                <w:rFonts w:hint="eastAsia" w:ascii="仿宋" w:hAnsi="仿宋" w:eastAsia="仿宋" w:cs="仿宋"/>
                <w:sz w:val="21"/>
                <w:szCs w:val="21"/>
              </w:rPr>
            </w:pPr>
            <w:r>
              <w:rPr>
                <w:rFonts w:hint="eastAsia" w:ascii="仿宋" w:hAnsi="仿宋" w:eastAsia="仿宋" w:cs="仿宋"/>
                <w:sz w:val="21"/>
                <w:szCs w:val="21"/>
              </w:rPr>
              <w:t>课程内容不适合网络公开传播</w:t>
            </w:r>
          </w:p>
        </w:tc>
      </w:tr>
    </w:tbl>
    <w:p>
      <w:pPr>
        <w:rPr>
          <w:rFonts w:hint="eastAsia"/>
          <w:b/>
          <w:bCs/>
          <w:sz w:val="24"/>
          <w:szCs w:val="24"/>
        </w:rPr>
      </w:pPr>
    </w:p>
    <w:p>
      <w:pPr>
        <w:rPr>
          <w:rFonts w:hint="default"/>
        </w:rPr>
      </w:pPr>
      <w:r>
        <w:rPr>
          <w:rFonts w:hint="eastAsia"/>
          <w:b/>
          <w:bCs/>
          <w:sz w:val="24"/>
          <w:szCs w:val="24"/>
        </w:rPr>
        <w:t>2评审指标细则</w:t>
      </w:r>
    </w:p>
    <w:tbl>
      <w:tblPr>
        <w:tblStyle w:val="4"/>
        <w:tblpPr w:leftFromText="180" w:rightFromText="180" w:vertAnchor="text" w:horzAnchor="page" w:tblpX="849" w:tblpY="612"/>
        <w:tblOverlap w:val="never"/>
        <w:tblW w:w="10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99"/>
        <w:gridCol w:w="1487"/>
        <w:gridCol w:w="6989"/>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10" w:hRule="atLeast"/>
        </w:trPr>
        <w:tc>
          <w:tcPr>
            <w:tcW w:w="1099" w:type="dxa"/>
            <w:tcBorders>
              <w:top w:val="single" w:color="auto" w:sz="6" w:space="0"/>
              <w:left w:val="single" w:color="auto" w:sz="6" w:space="0"/>
              <w:bottom w:val="single" w:color="auto" w:sz="6" w:space="0"/>
              <w:right w:val="single" w:color="auto" w:sz="6" w:space="0"/>
            </w:tcBorders>
            <w:shd w:val="clear" w:color="auto" w:fill="FFFFFF"/>
            <w:tcMar>
              <w:left w:w="75" w:type="dxa"/>
              <w:right w:w="75" w:type="dxa"/>
            </w:tcMar>
            <w:vAlign w:val="top"/>
          </w:tcPr>
          <w:p>
            <w:pPr>
              <w:rPr>
                <w:b/>
                <w:bCs/>
              </w:rPr>
            </w:pPr>
            <w:r>
              <w:rPr>
                <w:rFonts w:hint="eastAsia"/>
                <w:b/>
                <w:bCs/>
              </w:rPr>
              <w:t>一级指标</w:t>
            </w:r>
          </w:p>
        </w:tc>
        <w:tc>
          <w:tcPr>
            <w:tcW w:w="1487"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b/>
                <w:bCs/>
              </w:rPr>
            </w:pPr>
            <w:r>
              <w:rPr>
                <w:rFonts w:hint="eastAsia"/>
                <w:b/>
                <w:bCs/>
              </w:rPr>
              <w:t>二级指标</w:t>
            </w:r>
          </w:p>
        </w:tc>
        <w:tc>
          <w:tcPr>
            <w:tcW w:w="6989"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b/>
                <w:bCs/>
              </w:rPr>
            </w:pPr>
            <w:r>
              <w:rPr>
                <w:rFonts w:hint="eastAsia"/>
                <w:b/>
                <w:bCs/>
              </w:rPr>
              <w:t>观测点及描述</w:t>
            </w:r>
          </w:p>
        </w:tc>
        <w:tc>
          <w:tcPr>
            <w:tcW w:w="675"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b/>
                <w:bCs/>
              </w:rPr>
            </w:pPr>
            <w:r>
              <w:rPr>
                <w:rFonts w:hint="eastAsia"/>
                <w:b/>
                <w:bCs/>
              </w:rPr>
              <w:t>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6" w:hRule="atLeast"/>
        </w:trPr>
        <w:tc>
          <w:tcPr>
            <w:tcW w:w="109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一、课程内容 20分</w:t>
            </w: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1-1规范性</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课程内容为高校教学内容，符合《普通高等学校本科专业类教学质量国家标准》等要求，课程定位准确，教学内容质量高；课程知识体系科学完整。（若课程内容不规范，不适合列入高校人才培养方案的，此项为0分。）</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46" w:hRule="atLeast"/>
        </w:trPr>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1-2思想性、科学性、先进性</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坚持立德树人，将思想政治教育内化为课程内容，弘扬社会主义核心价值观；课程内容先进、新颖，反映学科专业先进的核心理论和成果，体现教改教研成果，具有较高的科学性水平，注重运用知识解决实际问题。（若存在思想性或较严重的科学性问题，此项为0分，请在否决性指标11中勾选，直接提交，结束评审此课程为0分。）</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1" w:hRule="atLeast"/>
        </w:trPr>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1-3 安全性</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课程无危害国家安全、涉密及其他不适宜网络公开传播的内容，无侵犯他人知识产权内容。(若存在有不适合公开的课程内容或有确凿证据证明有侵权情况，此项为0分，请在否决性指标13（14）中勾选，直接提交，结束评审，此课程为0分。）</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86" w:hRule="atLeast"/>
        </w:trPr>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1-4 适当性、多样性</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课程内容及教学环节配置丰富、多样，深浅度合理，内容更新和完善及时。在线考试难易度适当，有区分度。(若学分课程的内容过于浅显，或考核评判标准过低，此 项为0分。）</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4" w:hRule="atLeast"/>
        </w:trPr>
        <w:tc>
          <w:tcPr>
            <w:tcW w:w="109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二、课程教学</w:t>
            </w:r>
          </w:p>
          <w:p>
            <w:r>
              <w:rPr>
                <w:rFonts w:hint="eastAsia"/>
              </w:rPr>
              <w:t>设计 25分</w:t>
            </w:r>
          </w:p>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2-1合理性 </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教学目标明确，教学方法与教学活动组织科学合理，符合教育教学规律。</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2-2方向性</w:t>
            </w:r>
          </w:p>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符合以学生为中心的课程教学改革方向，注重激发学生学习志趣和潜能，增强学生的社会责任感、创新精神和实践能力；信息技术与教育教学融合，课程应用与课程服务相融通，  适合在线学习、翻转课堂以及线上线下混合式拓展性学习。 </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2-3创新性</w:t>
            </w:r>
          </w:p>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有针对性地解决当前教育教学中存在的问题，充分利用和发挥网络教学优势，各教学环节充分、有效，满足学生的在线学习的诉求，不是传统课堂的简单翻版。</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9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三、课程团队 10分</w:t>
            </w:r>
          </w:p>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3-1 负责人</w:t>
            </w:r>
          </w:p>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在本课程专业领域有较高学术造诣，教学经验丰富，教学水平高，在推进基于慕课的信息技术与教育教学深度融合的课程改革中投入精力大，有一定影响度。</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3-2 团队 </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主讲教师师德好、教学能力强，教学表现力强，课程团 队结构合理。 </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9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四、教学支持</w:t>
            </w:r>
          </w:p>
          <w:p>
            <w:r>
              <w:rPr>
                <w:rFonts w:hint="eastAsia"/>
              </w:rPr>
              <w:t>20分</w:t>
            </w: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4-1 团队服务</w:t>
            </w:r>
          </w:p>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通过课程平台，教师按照教学计划和要求为学习者提供测验、作业、考试、答疑、讨论等教学活动，及时开展 有效的在线指导与测评。（若教学团队成员未参与学习者答疑、讨论等教学活动，此项为0分。）</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5" w:hRule="atLeast"/>
        </w:trPr>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4-2 学习者活动</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学习者在线学习响应度高，师生互动活跃。</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109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五、应用效果与</w:t>
            </w:r>
          </w:p>
          <w:p>
            <w:r>
              <w:rPr>
                <w:rFonts w:hint="eastAsia"/>
              </w:rPr>
              <w:t>影响 25分</w:t>
            </w:r>
          </w:p>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5-1开放性 </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面向其他高校和社会学习者开放学习程度高。 </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4" w:hRule="atLeast"/>
        </w:trPr>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5-2课程本校应用情况</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在本校将在线课程与课堂教学结合，推动教</w:t>
            </w:r>
          </w:p>
          <w:p>
            <w:r>
              <w:rPr>
                <w:rFonts w:hint="eastAsia"/>
              </w:rPr>
              <w:t>学方法改革，有效提高教学质量。（若未应用于本校课程改革此项为0分）</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9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487"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5-3 在其他高校和社会学习者中应用共享情况</w:t>
            </w:r>
          </w:p>
        </w:tc>
        <w:tc>
          <w:tcPr>
            <w:tcW w:w="6989"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共享范围广，应用模式多样，应用效果好，社</w:t>
            </w:r>
          </w:p>
          <w:p>
            <w:r>
              <w:rPr>
                <w:rFonts w:hint="eastAsia"/>
              </w:rPr>
              <w:t>会影响力大，受益教师和学习者反馈、评价高。</w:t>
            </w:r>
          </w:p>
        </w:tc>
        <w:tc>
          <w:tcPr>
            <w:tcW w:w="6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15分</w:t>
            </w:r>
          </w:p>
        </w:tc>
      </w:tr>
    </w:tbl>
    <w:p>
      <w:pPr>
        <w:rPr>
          <w:rFonts w:hint="default"/>
          <w:b/>
          <w:bCs/>
          <w:sz w:val="28"/>
          <w:szCs w:val="28"/>
        </w:rPr>
      </w:pPr>
      <w:r>
        <w:rPr>
          <w:rFonts w:hint="eastAsia"/>
          <w:b/>
          <w:bCs/>
          <w:sz w:val="28"/>
          <w:szCs w:val="28"/>
          <w:lang w:val="en-US" w:eastAsia="zh-CN"/>
        </w:rPr>
        <w:t xml:space="preserve">02 </w:t>
      </w:r>
      <w:r>
        <w:rPr>
          <w:b/>
          <w:bCs/>
          <w:sz w:val="28"/>
          <w:szCs w:val="28"/>
        </w:rPr>
        <w:t>线</w:t>
      </w:r>
      <w:r>
        <w:rPr>
          <w:rFonts w:hint="eastAsia"/>
          <w:b/>
          <w:bCs/>
          <w:sz w:val="28"/>
          <w:szCs w:val="28"/>
        </w:rPr>
        <w:t>下一流课程评审指标</w:t>
      </w:r>
    </w:p>
    <w:p>
      <w:pPr>
        <w:rPr>
          <w:rFonts w:hint="default"/>
          <w:sz w:val="21"/>
          <w:szCs w:val="21"/>
        </w:rPr>
      </w:pPr>
      <w:r>
        <w:rPr>
          <w:rFonts w:hint="eastAsia"/>
          <w:b/>
          <w:bCs/>
          <w:sz w:val="21"/>
          <w:szCs w:val="21"/>
        </w:rPr>
        <w:t>1否决性指标</w:t>
      </w:r>
    </w:p>
    <w:tbl>
      <w:tblPr>
        <w:tblStyle w:val="4"/>
        <w:tblW w:w="9961" w:type="dxa"/>
        <w:tblInd w:w="-7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62"/>
        <w:gridCol w:w="8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62" w:type="dxa"/>
            <w:tcBorders>
              <w:top w:val="single" w:color="auto" w:sz="6" w:space="0"/>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sz w:val="21"/>
                <w:szCs w:val="21"/>
              </w:rPr>
              <w:t>项</w:t>
            </w:r>
          </w:p>
        </w:tc>
        <w:tc>
          <w:tcPr>
            <w:tcW w:w="8599"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62"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课程资质</w:t>
            </w:r>
          </w:p>
        </w:tc>
        <w:tc>
          <w:tcPr>
            <w:tcW w:w="8599"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1、非本科学分课程 查看教务系统提供的截图</w:t>
            </w:r>
          </w:p>
          <w:p>
            <w:pPr>
              <w:rPr>
                <w:sz w:val="21"/>
                <w:szCs w:val="21"/>
              </w:rPr>
            </w:pPr>
            <w:r>
              <w:rPr>
                <w:rFonts w:hint="eastAsia"/>
                <w:sz w:val="21"/>
                <w:szCs w:val="21"/>
              </w:rPr>
              <w:t>2、开设时间或期数不符合申报要求 申报截止日期前未完成至少两个完整的教 学学期或周期（查教务系统截图）</w:t>
            </w:r>
          </w:p>
          <w:p>
            <w:pPr>
              <w:rPr>
                <w:sz w:val="21"/>
                <w:szCs w:val="21"/>
              </w:rPr>
            </w:pPr>
            <w:r>
              <w:rPr>
                <w:rFonts w:hint="eastAsia"/>
                <w:sz w:val="21"/>
                <w:szCs w:val="21"/>
              </w:rPr>
              <w:t>3、课程基本信息有明显不一致 重点对比与教务系统截图是否一致：课程名称、授课教师、学时，查看有关说明材料。</w:t>
            </w:r>
          </w:p>
          <w:p>
            <w:pPr>
              <w:rPr>
                <w:sz w:val="21"/>
                <w:szCs w:val="21"/>
              </w:rPr>
            </w:pPr>
            <w:r>
              <w:rPr>
                <w:rFonts w:hint="eastAsia"/>
                <w:sz w:val="21"/>
                <w:szCs w:val="21"/>
              </w:rPr>
              <w:t>4、申报材料不齐备，缺少必须提供的关键材料 查看是否缺少申报书中的“七、 附件材料清单中的1-5项”的某项材料。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62"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教师资格</w:t>
            </w:r>
          </w:p>
        </w:tc>
        <w:tc>
          <w:tcPr>
            <w:tcW w:w="8599"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1、负责人非申报高校正式聘任教师查看“二、课程团队序号1的成员”及其他申报材料</w:t>
            </w:r>
          </w:p>
          <w:p>
            <w:pPr>
              <w:rPr>
                <w:sz w:val="21"/>
                <w:szCs w:val="21"/>
              </w:rPr>
            </w:pPr>
            <w:r>
              <w:rPr>
                <w:rFonts w:hint="eastAsia"/>
                <w:sz w:val="21"/>
                <w:szCs w:val="21"/>
              </w:rPr>
              <w:t>2、团队成员存在师德师风方面问题 查看“十、学校政治审查意见”，根据专 家掌握的信息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62"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课程内容</w:t>
            </w:r>
          </w:p>
        </w:tc>
        <w:tc>
          <w:tcPr>
            <w:tcW w:w="8599"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1、存在思想性或较严重的科学性问题 专家审查</w:t>
            </w:r>
          </w:p>
          <w:p>
            <w:pPr>
              <w:rPr>
                <w:sz w:val="21"/>
                <w:szCs w:val="21"/>
              </w:rPr>
            </w:pPr>
            <w:r>
              <w:rPr>
                <w:rFonts w:hint="eastAsia"/>
                <w:sz w:val="21"/>
                <w:szCs w:val="21"/>
              </w:rPr>
              <w:t>2、申报材料无法支撑课程内容，教学无法实施专家审查</w:t>
            </w:r>
          </w:p>
          <w:p>
            <w:pPr>
              <w:rPr>
                <w:sz w:val="21"/>
                <w:szCs w:val="21"/>
              </w:rPr>
            </w:pPr>
            <w:r>
              <w:rPr>
                <w:rFonts w:hint="eastAsia"/>
                <w:sz w:val="21"/>
                <w:szCs w:val="21"/>
              </w:rPr>
              <w:t>3、课程内容涉密 对比提交材料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62"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造假、侵权</w:t>
            </w:r>
          </w:p>
        </w:tc>
        <w:tc>
          <w:tcPr>
            <w:tcW w:w="8599"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1、申报材料造假 对比提交材料，或举报属实</w:t>
            </w:r>
          </w:p>
          <w:p>
            <w:pPr>
              <w:rPr>
                <w:sz w:val="21"/>
                <w:szCs w:val="21"/>
              </w:rPr>
            </w:pPr>
            <w:r>
              <w:rPr>
                <w:rFonts w:hint="eastAsia"/>
                <w:sz w:val="21"/>
                <w:szCs w:val="21"/>
              </w:rPr>
              <w:t>2、发现且确认有侵权现象对比提交材料，或举报属实</w:t>
            </w:r>
          </w:p>
        </w:tc>
      </w:tr>
    </w:tbl>
    <w:p>
      <w:pPr>
        <w:rPr>
          <w:rFonts w:hint="default"/>
        </w:rPr>
      </w:pPr>
    </w:p>
    <w:p>
      <w:pPr>
        <w:rPr>
          <w:rFonts w:hint="eastAsia"/>
          <w:b/>
          <w:bCs/>
          <w:sz w:val="24"/>
          <w:szCs w:val="24"/>
        </w:rPr>
      </w:pPr>
    </w:p>
    <w:p>
      <w:pPr>
        <w:rPr>
          <w:rFonts w:hint="default"/>
          <w:b/>
          <w:bCs/>
          <w:sz w:val="24"/>
          <w:szCs w:val="24"/>
        </w:rPr>
      </w:pPr>
      <w:r>
        <w:rPr>
          <w:rFonts w:hint="eastAsia"/>
          <w:b/>
          <w:bCs/>
          <w:sz w:val="24"/>
          <w:szCs w:val="24"/>
        </w:rPr>
        <w:t>2评审指标细则</w:t>
      </w:r>
    </w:p>
    <w:tbl>
      <w:tblPr>
        <w:tblStyle w:val="4"/>
        <w:tblpPr w:leftFromText="180" w:rightFromText="180" w:vertAnchor="text" w:horzAnchor="page" w:tblpX="774" w:tblpY="297"/>
        <w:tblOverlap w:val="never"/>
        <w:tblW w:w="10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49"/>
        <w:gridCol w:w="1100"/>
        <w:gridCol w:w="7500"/>
        <w:gridCol w:w="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2" w:hRule="atLeast"/>
        </w:trPr>
        <w:tc>
          <w:tcPr>
            <w:tcW w:w="1049" w:type="dxa"/>
            <w:tcBorders>
              <w:top w:val="single" w:color="auto" w:sz="6" w:space="0"/>
              <w:left w:val="single" w:color="auto" w:sz="6" w:space="0"/>
              <w:bottom w:val="single" w:color="auto" w:sz="6" w:space="0"/>
              <w:right w:val="single" w:color="auto" w:sz="6" w:space="0"/>
            </w:tcBorders>
            <w:shd w:val="clear" w:color="auto" w:fill="FFFFFF"/>
            <w:tcMar>
              <w:left w:w="75" w:type="dxa"/>
              <w:right w:w="75" w:type="dxa"/>
            </w:tcMar>
            <w:vAlign w:val="top"/>
          </w:tcPr>
          <w:p>
            <w:pPr>
              <w:jc w:val="center"/>
              <w:rPr>
                <w:sz w:val="21"/>
                <w:szCs w:val="21"/>
              </w:rPr>
            </w:pPr>
            <w:r>
              <w:rPr>
                <w:rFonts w:hint="eastAsia"/>
                <w:sz w:val="21"/>
                <w:szCs w:val="21"/>
              </w:rPr>
              <w:t>一级指标</w:t>
            </w:r>
          </w:p>
        </w:tc>
        <w:tc>
          <w:tcPr>
            <w:tcW w:w="1100"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jc w:val="center"/>
              <w:rPr>
                <w:sz w:val="21"/>
                <w:szCs w:val="21"/>
              </w:rPr>
            </w:pPr>
            <w:r>
              <w:rPr>
                <w:rFonts w:hint="eastAsia"/>
                <w:sz w:val="21"/>
                <w:szCs w:val="21"/>
              </w:rPr>
              <w:t>二级指标</w:t>
            </w:r>
          </w:p>
          <w:p>
            <w:pPr>
              <w:jc w:val="center"/>
              <w:rPr>
                <w:sz w:val="21"/>
                <w:szCs w:val="21"/>
              </w:rPr>
            </w:pPr>
          </w:p>
        </w:tc>
        <w:tc>
          <w:tcPr>
            <w:tcW w:w="7500"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jc w:val="center"/>
              <w:rPr>
                <w:sz w:val="21"/>
                <w:szCs w:val="21"/>
              </w:rPr>
            </w:pPr>
            <w:r>
              <w:rPr>
                <w:rFonts w:hint="eastAsia"/>
                <w:sz w:val="21"/>
                <w:szCs w:val="21"/>
              </w:rPr>
              <w:t>观测点及描述</w:t>
            </w:r>
          </w:p>
        </w:tc>
        <w:tc>
          <w:tcPr>
            <w:tcW w:w="550"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jc w:val="center"/>
              <w:rPr>
                <w:sz w:val="21"/>
                <w:szCs w:val="21"/>
              </w:rPr>
            </w:pPr>
            <w:r>
              <w:rPr>
                <w:rFonts w:hint="eastAsia"/>
                <w:sz w:val="21"/>
                <w:szCs w:val="21"/>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104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一、课程目标符合新时代人才培养要求 15分</w:t>
            </w: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1-1</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符合学校办学定位和人才培养目标，坚持立德树人。</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5" w:hRule="atLeast"/>
        </w:trPr>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1-2</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坚持知识、能力、素质有机融合，注重提升课程的高阶性、突出课程 的创新性、增加课程的挑战度，契合学生解决复杂问题等综合能力养 成要求。</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9" w:hRule="atLeast"/>
        </w:trPr>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1-3</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目标描述准确具体，对应国家、行业、专业需求，符合培养规律，符合校情、学情，达成路径清晰，便于考核评价。</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二、授课教师（团队） 切实投入教学改革15分</w:t>
            </w: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2-1</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秉持学生中心、产出导向、持续改进的理念。</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2-2</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教学理念融入教学设计，围绕目标达成、教学内容、组织 实施和多元评价需求进行整体规划，教学策略、教学方法 教学过程、教学评价等设计合理。</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2-3</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教学改革意识强烈，能够主动运用新技术、新手段、新工 具，创新教学方法，提高教学效率、提升教学质量，教学 能力有显著提升。</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p>
            <w:pP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三、课程内容与时</w:t>
            </w:r>
          </w:p>
          <w:p>
            <w:pPr>
              <w:rPr>
                <w:sz w:val="21"/>
                <w:szCs w:val="21"/>
              </w:rPr>
            </w:pPr>
            <w:r>
              <w:rPr>
                <w:rFonts w:hint="eastAsia"/>
                <w:sz w:val="21"/>
                <w:szCs w:val="21"/>
              </w:rPr>
              <w:t>俱进20分</w:t>
            </w: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3-1</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落实课程思政建设要求，通过专业知识教育与思想政治教育的紧密融合，将价值塑造、知识传授和能力培养三者融为一体。</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3-2</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3-3</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保障教学资源的优质性与适用性，以提升学生综合能力为重点，重塑课程内容。</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四、教与学发生改 变 15分</w:t>
            </w: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4-1</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以教为中心向以学为中心转变，以提升教学效果为目的因材施教，运用适当的数字化教学工具，有效开展线下课堂教学活动。实施打破传统课堂“满堂灌”和沉默状态的方式方法，训练学生问题解决能力和审辩式思维能力</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4-2</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学生学习方式有显著变化，安排学生个别化学习与合作学习，强化课堂教学师生互动、生生互动环节，加强研究型、项目式学习。</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五、评价拓展深化</w:t>
            </w:r>
          </w:p>
          <w:p>
            <w:pPr>
              <w:rPr>
                <w:sz w:val="21"/>
                <w:szCs w:val="21"/>
              </w:rPr>
            </w:pPr>
            <w:r>
              <w:rPr>
                <w:rFonts w:hint="eastAsia"/>
                <w:sz w:val="21"/>
                <w:szCs w:val="21"/>
              </w:rPr>
              <w:t>15分</w:t>
            </w: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5-1</w:t>
            </w:r>
          </w:p>
          <w:p>
            <w:pPr>
              <w:rPr>
                <w:sz w:val="21"/>
                <w:szCs w:val="21"/>
              </w:rPr>
            </w:pP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考核方式多元，丰富探究式、论文式、报告答辩式等作业评价方式，加强非标准化、综合性等评价，评价手段恰当必要，契合相对应的人才培养类型。</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5-2</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考试考核评价严格，体现过程评价，注重学习效果评价，考核考试评价严格，过程可回溯，诊断改进积极有效。</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49"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六、改革行之有效</w:t>
            </w:r>
          </w:p>
          <w:p>
            <w:pPr>
              <w:rPr>
                <w:sz w:val="21"/>
                <w:szCs w:val="21"/>
              </w:rPr>
            </w:pPr>
            <w:r>
              <w:rPr>
                <w:rFonts w:hint="eastAsia"/>
                <w:sz w:val="21"/>
                <w:szCs w:val="21"/>
              </w:rPr>
              <w:t>20分</w:t>
            </w:r>
          </w:p>
          <w:p>
            <w:pPr>
              <w:rPr>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6-1</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学习效果提升，学生对课程的参与度、学习获得感、对教师教学以及课程的满意度有明显提高。</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6-2</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改革迭代优化，有意识地收集数据开展教学反思、教学研究和教学改进。在多期混合式教学中进行迭 代，不断优化教学的设计和实施。</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6-3</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学校对探索应用智慧教室等信息化教学工具开展线下课程改革、应用信息化手段开展教学管理与质量 监控有配套条件或机制支持。</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049"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11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6-4</w:t>
            </w:r>
          </w:p>
        </w:tc>
        <w:tc>
          <w:tcPr>
            <w:tcW w:w="750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较好地解决了传统教学中的短板问题。在树立课程建设新理念、推进相应类型高校课程改革创新、提 升教学效果方面显示了明显优势，具有推广价值。</w:t>
            </w:r>
          </w:p>
        </w:tc>
        <w:tc>
          <w:tcPr>
            <w:tcW w:w="550"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bl>
    <w:p>
      <w:pPr>
        <w:rPr>
          <w:rFonts w:hint="default"/>
        </w:rPr>
      </w:pPr>
    </w:p>
    <w:p>
      <w:pPr>
        <w:rPr>
          <w:rFonts w:hint="default"/>
          <w:b/>
          <w:bCs/>
        </w:rPr>
      </w:pPr>
      <w:r>
        <w:rPr>
          <w:rFonts w:hint="eastAsia"/>
          <w:b/>
          <w:bCs/>
          <w:lang w:val="en-US" w:eastAsia="zh-CN"/>
        </w:rPr>
        <w:t xml:space="preserve">03 </w:t>
      </w:r>
      <w:r>
        <w:rPr>
          <w:b/>
          <w:bCs/>
        </w:rPr>
        <w:t>线上</w:t>
      </w:r>
      <w:r>
        <w:rPr>
          <w:rFonts w:hint="eastAsia"/>
          <w:b/>
          <w:bCs/>
        </w:rPr>
        <w:t>线下混合式一流课程评审指标</w:t>
      </w:r>
    </w:p>
    <w:p>
      <w:pPr>
        <w:rPr>
          <w:rFonts w:hint="default"/>
          <w:b/>
          <w:bCs/>
        </w:rPr>
      </w:pPr>
      <w:r>
        <w:rPr>
          <w:rFonts w:hint="eastAsia"/>
          <w:b/>
          <w:bCs/>
        </w:rPr>
        <w:t>1否决性指标</w:t>
      </w:r>
    </w:p>
    <w:p>
      <w:pPr>
        <w:rPr>
          <w:rFonts w:hint="default"/>
        </w:rPr>
      </w:pPr>
    </w:p>
    <w:tbl>
      <w:tblPr>
        <w:tblStyle w:val="4"/>
        <w:tblW w:w="10086" w:type="dxa"/>
        <w:tblInd w:w="-8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1"/>
        <w:gridCol w:w="9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1" w:type="dxa"/>
            <w:tcBorders>
              <w:top w:val="single" w:color="auto" w:sz="6" w:space="0"/>
              <w:left w:val="single" w:color="auto" w:sz="6" w:space="0"/>
              <w:bottom w:val="single" w:color="auto" w:sz="6" w:space="0"/>
              <w:right w:val="single" w:color="auto" w:sz="6" w:space="0"/>
            </w:tcBorders>
            <w:shd w:val="clear" w:color="auto" w:fill="FFFFFF"/>
            <w:tcMar>
              <w:left w:w="75" w:type="dxa"/>
              <w:right w:w="75" w:type="dxa"/>
            </w:tcMar>
            <w:vAlign w:val="top"/>
          </w:tcPr>
          <w:p>
            <w:r>
              <w:t>项</w:t>
            </w:r>
          </w:p>
        </w:tc>
        <w:tc>
          <w:tcPr>
            <w:tcW w:w="9275"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r>
              <w:rPr>
                <w:rFonts w:hint="eastAsia"/>
              </w:rPr>
              <w:t>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1"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课程资质</w:t>
            </w:r>
          </w:p>
        </w:tc>
        <w:tc>
          <w:tcPr>
            <w:tcW w:w="92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1、非本科学分课程 查看教务系统提供的截图</w:t>
            </w:r>
          </w:p>
          <w:p>
            <w:r>
              <w:rPr>
                <w:rFonts w:hint="eastAsia"/>
              </w:rPr>
              <w:t>2、开设时间或期数不符合申报要求 申报截止日期前未 完成至少两个完整的教学学期或周期（查看教务系统截图）</w:t>
            </w:r>
          </w:p>
          <w:p>
            <w:r>
              <w:rPr>
                <w:rFonts w:hint="eastAsia"/>
              </w:rPr>
              <w:t>3、开设时间或期数不符合申报要求 申报截止日期前未 完成至少两个完整的教学学期或周期（查看教务系统截图）</w:t>
            </w:r>
          </w:p>
          <w:p>
            <w:r>
              <w:rPr>
                <w:rFonts w:hint="eastAsia"/>
              </w:rPr>
              <w:t>4、申报材料不齐备，缺少必须提供的关键材料 查看 是否缺少申报书中的“七、附件材料清单中的1-6项”的某项材料。</w:t>
            </w:r>
          </w:p>
          <w:p>
            <w:r>
              <w:rPr>
                <w:rFonts w:hint="eastAsia"/>
              </w:rPr>
              <w:t>5、课程与推荐申报类型不符（查看是否属于本人或他人的慕课、SPOC或其他在线课程开展线上线下混合式教学）。</w:t>
            </w:r>
          </w:p>
          <w:p>
            <w:r>
              <w:rPr>
                <w:rFonts w:hint="eastAsia"/>
              </w:rPr>
              <w:t>6、课程线上资源无法打开（查看课程链接提供的链接）。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1"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课程内容</w:t>
            </w:r>
          </w:p>
        </w:tc>
        <w:tc>
          <w:tcPr>
            <w:tcW w:w="92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1、线上资源选择随意，课程质量差，不符合教学目标要求。</w:t>
            </w:r>
          </w:p>
          <w:p>
            <w:r>
              <w:rPr>
                <w:rFonts w:hint="eastAsia"/>
              </w:rPr>
              <w:t>2、线上课程教学安排不符合“安排20%-50%的线上 学生自主学习的基本要求”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1"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教师资格</w:t>
            </w:r>
          </w:p>
        </w:tc>
        <w:tc>
          <w:tcPr>
            <w:tcW w:w="92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1、负责人非申报高校正式聘任教师查看“二、课程团队序号1的成员”及其他申报材料</w:t>
            </w:r>
          </w:p>
          <w:p>
            <w:r>
              <w:rPr>
                <w:rFonts w:hint="eastAsia"/>
              </w:rPr>
              <w:t>2、团队成员存在师德师风方面问题查看  “十、学校政治审查意见”，根据专家掌握的信息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1"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课程内容</w:t>
            </w:r>
          </w:p>
        </w:tc>
        <w:tc>
          <w:tcPr>
            <w:tcW w:w="92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1、存在思想性或较严重的科学性问题 专家审查</w:t>
            </w:r>
          </w:p>
          <w:p>
            <w:r>
              <w:rPr>
                <w:rFonts w:hint="eastAsia"/>
              </w:rPr>
              <w:t>2、课程内容涉密 对比提交材料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11" w:type="dxa"/>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造假、侵权</w:t>
            </w:r>
          </w:p>
        </w:tc>
        <w:tc>
          <w:tcPr>
            <w:tcW w:w="9275"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1、申报材料造假 对比提交材料，或举报属实</w:t>
            </w:r>
          </w:p>
          <w:p>
            <w:r>
              <w:rPr>
                <w:rFonts w:hint="eastAsia"/>
              </w:rPr>
              <w:t>2、发现且确认有侵权现象对比提交材料， 或举报属实</w:t>
            </w:r>
          </w:p>
        </w:tc>
      </w:tr>
    </w:tbl>
    <w:p>
      <w:pPr>
        <w:rPr>
          <w:rFonts w:hint="eastAsia"/>
          <w:b/>
          <w:bCs/>
        </w:rPr>
      </w:pPr>
    </w:p>
    <w:p>
      <w:pPr>
        <w:rPr>
          <w:rFonts w:hint="default"/>
          <w:b/>
          <w:bCs/>
        </w:rPr>
      </w:pPr>
      <w:r>
        <w:rPr>
          <w:rFonts w:hint="eastAsia"/>
          <w:b/>
          <w:bCs/>
        </w:rPr>
        <w:t>2评审指标细则</w:t>
      </w:r>
    </w:p>
    <w:tbl>
      <w:tblPr>
        <w:tblStyle w:val="4"/>
        <w:tblpPr w:leftFromText="180" w:rightFromText="180" w:vertAnchor="text" w:horzAnchor="page" w:tblpX="873" w:tblpY="244"/>
        <w:tblOverlap w:val="never"/>
        <w:tblW w:w="101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5"/>
        <w:gridCol w:w="837"/>
        <w:gridCol w:w="7838"/>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tcBorders>
              <w:top w:val="single" w:color="auto" w:sz="6" w:space="0"/>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一级指标</w:t>
            </w:r>
          </w:p>
        </w:tc>
        <w:tc>
          <w:tcPr>
            <w:tcW w:w="837"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二级指标</w:t>
            </w:r>
          </w:p>
        </w:tc>
        <w:tc>
          <w:tcPr>
            <w:tcW w:w="7838"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观测点及描述</w:t>
            </w:r>
          </w:p>
        </w:tc>
        <w:tc>
          <w:tcPr>
            <w:tcW w:w="637"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一、课程目标 符合新时代人才培养要求 15分</w:t>
            </w: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1-1</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符合学校办学定位和人才培养目标，坚持立德树人。</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default"/>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1-2</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坚持知识、能力、素质有机融合，注重提升课程的高阶性、突出课程 的创新性、增加课程的挑战度，契合学生解决复杂问题等综合能力养成要求。</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1-3</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目标描述准确具体，对应国家、行业、专业需求，符合培养规律，符合校情、学情，达成路径清晰，便于考核评价。</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二、授课教师（团队） 切实投入教学改革 15分</w:t>
            </w: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2-1</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秉持学生中心、产出导向、持续改进的理念。</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2-2</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教学理念融入教学设计，围绕目标达成、教学内容、组织 实施和多元评价需求进行整体规划，教学策略、教学方法 教学过程、教学评价等设计合理。</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2-3</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教学改革意识强烈，能够主动运用新技术，创新教学方法提高教学效率、提升教学质量，教学能力有显著提升。 </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三、课程内容与时俱进 20分</w:t>
            </w:r>
          </w:p>
          <w:p>
            <w:pPr>
              <w:rPr>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3-1</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落实课程思政建设要求，通过专业知识教育与思想政治教育的紧密融合，将价值塑造、知识传授和能力培养三者融为一体。</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3-2</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体现前沿性与时代性要求，反映学科专业、行业先进的核心 理论和成果，聚焦新工科、新医科、新农科、新文科建设，  增加体现多学科思维融合、产业技术与学科理论融合、跨专 业能力融合、多学科项目实践融合内容。</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3-3</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保障教学资源的优质性与适用性，优先选择国家级和省级精品在线开放课程等高质量在线课程资源，结合本校实际对课程内容进行优化，线上、线下内容互补，充分体现混合式优势。</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四、教与学发生改</w:t>
            </w:r>
          </w:p>
          <w:p>
            <w:pPr>
              <w:rPr>
                <w:sz w:val="21"/>
                <w:szCs w:val="21"/>
              </w:rPr>
            </w:pPr>
            <w:r>
              <w:rPr>
                <w:rFonts w:hint="eastAsia"/>
                <w:sz w:val="21"/>
                <w:szCs w:val="21"/>
              </w:rPr>
              <w:t>变15分</w:t>
            </w: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4-1</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以教为中心向以学为中心转变，符合“安排20-50%的教学时间实施学生线上自主学习”基本要求，以提升教学效果为目的，因材施教，运用适当的数字化教学工具创新教学方式方法，有效开展线上与线下密切衔接的全 过程教学活动。实施打破传统课堂“满堂灌”和沉默状态 的方式方法，训练学生问题解决能力和审辩式思维能力</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9" w:hRule="atLeast"/>
        </w:trPr>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4-2</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学生学习方式有显著变化，安排学生个别化学习与合作学习，强化课堂教学师生互动、生生互动环节，加强研究型、项目式学习。</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75"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五、评价拓展深化</w:t>
            </w:r>
          </w:p>
          <w:p>
            <w:pPr>
              <w:rPr>
                <w:sz w:val="21"/>
                <w:szCs w:val="21"/>
              </w:rPr>
            </w:pPr>
            <w:r>
              <w:rPr>
                <w:rFonts w:hint="eastAsia"/>
                <w:sz w:val="21"/>
                <w:szCs w:val="21"/>
              </w:rPr>
              <w:t>15分</w:t>
            </w: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5-1</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考核方式多元，丰富探究式、论文式、报告答辩式等作业评价方式，加强非标准化、综合性等评价，评价手段恰当必要，契合相对应的人才培养类型。</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5-2</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考试考核评价严格，体现过程评价，注重学习效果评价。学生线上自主学习、作业和测试等评价与参加线下教学活动的评价连贯完整，过程可回溯，诊断改进积极有效。</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六、改革行之有效</w:t>
            </w:r>
          </w:p>
          <w:p>
            <w:pPr>
              <w:rPr>
                <w:sz w:val="21"/>
                <w:szCs w:val="21"/>
              </w:rPr>
            </w:pPr>
            <w:r>
              <w:rPr>
                <w:rFonts w:hint="eastAsia"/>
                <w:sz w:val="21"/>
                <w:szCs w:val="21"/>
              </w:rPr>
              <w:t>20分</w:t>
            </w:r>
          </w:p>
          <w:p>
            <w:pPr>
              <w:rPr>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6-1</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学习效果提升，学生对课程的参与度、学习获得感、对教师教学以及课程的满意度有明显提高。 </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6-2</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改革迭代优化，有意识地收集数据开展教学反思、教学研究和教学改进。在多期混合式教学中进行迭 代，不断优化教学的设计和实施。</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6-3</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学校对线上线下混合式教学有合理的工作量计算机制、教学管理与质量监控机制等配套支持，并不断 完善。</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5"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sz w:val="21"/>
                <w:szCs w:val="21"/>
              </w:rPr>
            </w:pPr>
          </w:p>
        </w:tc>
        <w:tc>
          <w:tcPr>
            <w:tcW w:w="8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6-4</w:t>
            </w:r>
          </w:p>
        </w:tc>
        <w:tc>
          <w:tcPr>
            <w:tcW w:w="7838"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较好地解决了传统教学中的短板问题。在树立课程建设新理念、推进相应类型高校课程改革创新、提 升教学效果方面显示了明显优势，具有推广价值。</w:t>
            </w:r>
          </w:p>
        </w:tc>
        <w:tc>
          <w:tcPr>
            <w:tcW w:w="637" w:type="dxa"/>
            <w:tcBorders>
              <w:top w:val="nil"/>
              <w:left w:val="nil"/>
              <w:bottom w:val="single" w:color="auto" w:sz="6" w:space="0"/>
              <w:right w:val="single" w:color="auto" w:sz="6" w:space="0"/>
            </w:tcBorders>
            <w:shd w:val="clear" w:color="auto" w:fill="FFFFFF"/>
            <w:tcMar>
              <w:left w:w="75" w:type="dxa"/>
              <w:right w:w="75" w:type="dxa"/>
            </w:tcMar>
            <w:vAlign w:val="top"/>
          </w:tcPr>
          <w:p>
            <w:pPr>
              <w:rPr>
                <w:sz w:val="21"/>
                <w:szCs w:val="21"/>
              </w:rPr>
            </w:pPr>
            <w:r>
              <w:rPr>
                <w:rFonts w:hint="eastAsia"/>
                <w:sz w:val="21"/>
                <w:szCs w:val="21"/>
              </w:rPr>
              <w:t>5分</w:t>
            </w:r>
          </w:p>
        </w:tc>
      </w:tr>
    </w:tbl>
    <w:p>
      <w:pPr>
        <w:rPr>
          <w:rFonts w:hint="eastAsia"/>
          <w:lang w:val="en-US" w:eastAsia="zh-CN"/>
        </w:rPr>
      </w:pPr>
    </w:p>
    <w:p>
      <w:pPr>
        <w:rPr>
          <w:rFonts w:hint="default"/>
          <w:b/>
          <w:bCs/>
        </w:rPr>
      </w:pPr>
      <w:r>
        <w:rPr>
          <w:rFonts w:hint="eastAsia"/>
          <w:b/>
          <w:bCs/>
          <w:lang w:val="en-US" w:eastAsia="zh-CN"/>
        </w:rPr>
        <w:t xml:space="preserve">04 </w:t>
      </w:r>
      <w:r>
        <w:rPr>
          <w:rFonts w:hint="eastAsia"/>
          <w:b/>
          <w:bCs/>
        </w:rPr>
        <w:t>虚拟仿真一流课程评审指标</w:t>
      </w:r>
    </w:p>
    <w:tbl>
      <w:tblPr>
        <w:tblStyle w:val="4"/>
        <w:tblW w:w="10188" w:type="dxa"/>
        <w:tblInd w:w="-8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26"/>
        <w:gridCol w:w="1100"/>
        <w:gridCol w:w="2368"/>
        <w:gridCol w:w="4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tcBorders>
              <w:top w:val="single" w:color="auto" w:sz="6" w:space="0"/>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重百分比</w:t>
            </w:r>
          </w:p>
        </w:tc>
        <w:tc>
          <w:tcPr>
            <w:tcW w:w="1100"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r>
              <w:rPr>
                <w:rFonts w:hint="eastAsia"/>
              </w:rPr>
              <w:t>一级指标</w:t>
            </w:r>
          </w:p>
        </w:tc>
        <w:tc>
          <w:tcPr>
            <w:tcW w:w="2368"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r>
              <w:rPr>
                <w:rFonts w:hint="eastAsia"/>
              </w:rPr>
              <w:t>二级指标</w:t>
            </w:r>
          </w:p>
        </w:tc>
        <w:tc>
          <w:tcPr>
            <w:tcW w:w="4994" w:type="dxa"/>
            <w:tcBorders>
              <w:top w:val="single" w:color="auto" w:sz="6" w:space="0"/>
              <w:left w:val="nil"/>
              <w:bottom w:val="single" w:color="auto" w:sz="6" w:space="0"/>
              <w:right w:val="single" w:color="auto" w:sz="6" w:space="0"/>
            </w:tcBorders>
            <w:shd w:val="clear" w:color="auto" w:fill="FFFFFF"/>
            <w:tcMar>
              <w:left w:w="75" w:type="dxa"/>
              <w:right w:w="75" w:type="dxa"/>
            </w:tcMar>
            <w:vAlign w:val="top"/>
          </w:tcPr>
          <w:p>
            <w:r>
              <w:rPr>
                <w:rFonts w:hint="eastAsia"/>
              </w:rPr>
              <w:t>观察点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一、应用强度矩阵 30分</w:t>
            </w:r>
          </w:p>
        </w:tc>
        <w:tc>
          <w:tcPr>
            <w:tcW w:w="1100" w:type="dxa"/>
            <w:vMerge w:val="restart"/>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应用强度</w:t>
            </w:r>
          </w:p>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实验教学信息化总体规划</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1、实验教学总体规划方案中有关信息化的描述；</w:t>
            </w:r>
          </w:p>
          <w:p>
            <w:r>
              <w:rPr>
                <w:rFonts w:hint="eastAsia"/>
              </w:rPr>
              <w:t>2、实验教学信息化中有关虚拟仿真的描述；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虚拟实验在实验教学课程体系中的位置</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1、实验课程在整个课程体系中所占比例；</w:t>
            </w:r>
          </w:p>
          <w:p>
            <w:r>
              <w:rPr>
                <w:rFonts w:hint="eastAsia"/>
              </w:rPr>
              <w:t>2、实验课程对主干基础课的支撑程度；</w:t>
            </w:r>
          </w:p>
          <w:p>
            <w:r>
              <w:rPr>
                <w:rFonts w:hint="eastAsia"/>
              </w:rPr>
              <w:t>3、虚拟实验在实验课程中所占比例；</w:t>
            </w:r>
          </w:p>
          <w:p>
            <w:r>
              <w:rPr>
                <w:rFonts w:hint="eastAsia"/>
              </w:rPr>
              <w:t>4、虚拟实验的学习刚性（必修还是选修）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虚拟仿真项目在实验课程中发挥的作用</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1、是否坚持了能实不虚的原则；</w:t>
            </w:r>
          </w:p>
          <w:p>
            <w:r>
              <w:rPr>
                <w:rFonts w:hint="eastAsia"/>
              </w:rPr>
              <w:t>2、是否实现了虚实结合；</w:t>
            </w:r>
          </w:p>
          <w:p>
            <w:r>
              <w:rPr>
                <w:rFonts w:hint="eastAsia"/>
              </w:rPr>
              <w:t>3、项目完成情况如何认定实验成绩；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虚拟仿真实验对原有教学形式的影响</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1、是否提高了原有线下实验的效率；</w:t>
            </w:r>
          </w:p>
          <w:p>
            <w:r>
              <w:rPr>
                <w:rFonts w:hint="eastAsia"/>
              </w:rPr>
              <w:t>2、是否增强了原有线下实验的效果</w:t>
            </w:r>
          </w:p>
          <w:p>
            <w:r>
              <w:rPr>
                <w:rFonts w:hint="eastAsia"/>
              </w:rPr>
              <w:t>3、是否实现了线上线下相结合。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二、应用广度矩阵 20分</w:t>
            </w:r>
          </w:p>
          <w:p/>
        </w:tc>
        <w:tc>
          <w:tcPr>
            <w:tcW w:w="1100" w:type="dxa"/>
            <w:vMerge w:val="restart"/>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应用广度</w:t>
            </w:r>
          </w:p>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本专业应用项目的情况</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1、必修课使用人数和学时数；2、选修课使用人数和学时数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本学科其他专业应用项目的情况</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1、使用项目的专业数</w:t>
            </w:r>
          </w:p>
          <w:p>
            <w:r>
              <w:rPr>
                <w:rFonts w:hint="eastAsia"/>
              </w:rPr>
              <w:t>2、涉及的人数和学时数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本校应用项目的情况</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1、是否由其他学科使用该项目；2、使用情况；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外校应用项目的情况</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兄弟院校将该项目用于实验教学的情况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其他单位应用项目的情况</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相关行业将该项目用于科普或员工 培训的情况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1726"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三、应用效度矩阵 30分</w:t>
            </w:r>
          </w:p>
        </w:tc>
        <w:tc>
          <w:tcPr>
            <w:tcW w:w="1100" w:type="dxa"/>
            <w:vMerge w:val="restart"/>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应用效度</w:t>
            </w:r>
          </w:p>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虚拟实验填补实验教学空白 </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通过使用虚拟实验，填补了原有实验教学体 系的空白，更好的支撑了课堂教学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虚拟实验优化原有实验教学 环节</w:t>
            </w:r>
          </w:p>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1、通过使用虚拟实验，提高了原实验教学环节 的效率；</w:t>
            </w:r>
          </w:p>
          <w:p>
            <w:r>
              <w:rPr>
                <w:rFonts w:hint="eastAsia"/>
              </w:rPr>
              <w:t>2、通过使用虚拟实验，丰富了教学手段，拓展 课学生动手能力培养方式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虚拟实验的实际教学效果</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1、通过虚拟实验，学生对理论教学知识点的掌 握是否得到加强；</w:t>
            </w:r>
          </w:p>
          <w:p>
            <w:r>
              <w:rPr>
                <w:rFonts w:hint="eastAsia"/>
              </w:rPr>
              <w:t>2、通过虚拟实验，学生对实验原理、流程和操作是否有效的掌握和模拟训练；</w:t>
            </w:r>
          </w:p>
          <w:p>
            <w:r>
              <w:rPr>
                <w:rFonts w:hint="eastAsia"/>
              </w:rPr>
              <w:t>3、通过虚拟实验，对学生综合分析问题和解决问题能力的培养效果</w:t>
            </w:r>
          </w:p>
          <w:p>
            <w:r>
              <w:rPr>
                <w:rFonts w:hint="eastAsia"/>
              </w:rPr>
              <w:t>4、学生评价与反馈；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restart"/>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r>
              <w:rPr>
                <w:rFonts w:hint="eastAsia"/>
              </w:rPr>
              <w:t>四、保障机制矩阵 20分</w:t>
            </w:r>
          </w:p>
        </w:tc>
        <w:tc>
          <w:tcPr>
            <w:tcW w:w="1100" w:type="dxa"/>
            <w:vMerge w:val="restart"/>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保障机制</w:t>
            </w:r>
          </w:p>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应用与服务团队建设</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是否有稳定的团队负责项目的开发与持续建设，力 量是否充足，是否具有多元化的背景，分工是否明确。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政策性支撑措施</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1、对虚拟仿真项目建设的持续投入；</w:t>
            </w:r>
          </w:p>
          <w:p>
            <w:r>
              <w:rPr>
                <w:rFonts w:hint="eastAsia"/>
              </w:rPr>
              <w:t>2、对学生使用虚拟项目是否有学分或学时认定；</w:t>
            </w:r>
          </w:p>
          <w:p>
            <w:r>
              <w:rPr>
                <w:rFonts w:hint="eastAsia"/>
              </w:rPr>
              <w:t>3、对教师参与开发和持续建设虚拟项目是否计算工作量；</w:t>
            </w:r>
          </w:p>
          <w:p>
            <w:r>
              <w:rPr>
                <w:rFonts w:hint="eastAsia"/>
              </w:rPr>
              <w:t>4、项目认定或应用过程中取得的成绩如何认可。</w:t>
            </w:r>
          </w:p>
          <w:p>
            <w:r>
              <w:rPr>
                <w:rFonts w:hint="eastAsia"/>
              </w:rPr>
              <w:t>5、学分互认机制；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26" w:type="dxa"/>
            <w:vMerge w:val="continue"/>
            <w:tcBorders>
              <w:top w:val="nil"/>
              <w:left w:val="single" w:color="auto" w:sz="6" w:space="0"/>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1100" w:type="dxa"/>
            <w:vMerge w:val="continue"/>
            <w:tcBorders>
              <w:top w:val="nil"/>
              <w:left w:val="nil"/>
              <w:bottom w:val="single" w:color="auto" w:sz="6" w:space="0"/>
              <w:right w:val="single" w:color="auto" w:sz="6" w:space="0"/>
            </w:tcBorders>
            <w:shd w:val="clear" w:color="auto" w:fill="FFFFFF"/>
            <w:tcMar>
              <w:left w:w="75" w:type="dxa"/>
              <w:right w:w="75" w:type="dxa"/>
            </w:tcMar>
            <w:vAlign w:val="top"/>
          </w:tcPr>
          <w:p>
            <w:pPr>
              <w:rPr>
                <w:rFonts w:hint="eastAsia"/>
              </w:rPr>
            </w:pPr>
          </w:p>
        </w:tc>
        <w:tc>
          <w:tcPr>
            <w:tcW w:w="2368"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服务性保障措施</w:t>
            </w:r>
          </w:p>
        </w:tc>
        <w:tc>
          <w:tcPr>
            <w:tcW w:w="4994" w:type="dxa"/>
            <w:tcBorders>
              <w:top w:val="nil"/>
              <w:left w:val="nil"/>
              <w:bottom w:val="single" w:color="auto" w:sz="6" w:space="0"/>
              <w:right w:val="single" w:color="auto" w:sz="6" w:space="0"/>
            </w:tcBorders>
            <w:shd w:val="clear" w:color="auto" w:fill="FFFFFF"/>
            <w:tcMar>
              <w:left w:w="75" w:type="dxa"/>
              <w:right w:w="75" w:type="dxa"/>
            </w:tcMar>
            <w:vAlign w:val="top"/>
          </w:tcPr>
          <w:p>
            <w:r>
              <w:rPr>
                <w:rFonts w:hint="eastAsia"/>
              </w:rPr>
              <w:t>鼓励项目应用和共享服务的激励措施，包括收费和成本补偿机制，人员激励等；</w:t>
            </w:r>
          </w:p>
        </w:tc>
      </w:tr>
    </w:tbl>
    <w:p>
      <w:pPr>
        <w:rPr>
          <w:rFonts w:hint="eastAsia"/>
          <w:b/>
          <w:bCs/>
          <w:lang w:val="en-US" w:eastAsia="zh-CN"/>
        </w:rPr>
      </w:pPr>
    </w:p>
    <w:p>
      <w:pPr>
        <w:rPr>
          <w:rFonts w:hint="eastAsia"/>
          <w:b/>
          <w:bCs/>
          <w:lang w:val="en-US" w:eastAsia="zh-CN"/>
        </w:rPr>
      </w:pPr>
      <w:r>
        <w:rPr>
          <w:rFonts w:hint="eastAsia"/>
          <w:b/>
          <w:bCs/>
          <w:lang w:val="en-US" w:eastAsia="zh-CN"/>
        </w:rPr>
        <w:t>05 社会实践一流课程评审指标</w:t>
      </w:r>
    </w:p>
    <w:p>
      <w:pPr>
        <w:jc w:val="left"/>
      </w:pPr>
      <w:bookmarkStart w:id="0" w:name="_GoBack"/>
      <w:r>
        <w:rPr>
          <w:rFonts w:hint="default"/>
          <w:lang w:val="en-US"/>
        </w:rPr>
        <w:drawing>
          <wp:inline distT="0" distB="0" distL="114300" distR="114300">
            <wp:extent cx="5931535" cy="4906010"/>
            <wp:effectExtent l="0" t="0" r="12065" b="8890"/>
            <wp:docPr id="1" name="图片 1" descr="QQ图片2021032514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325141218"/>
                    <pic:cNvPicPr>
                      <a:picLocks noChangeAspect="1"/>
                    </pic:cNvPicPr>
                  </pic:nvPicPr>
                  <pic:blipFill>
                    <a:blip r:embed="rId4"/>
                    <a:stretch>
                      <a:fillRect/>
                    </a:stretch>
                  </pic:blipFill>
                  <pic:spPr>
                    <a:xfrm>
                      <a:off x="0" y="0"/>
                      <a:ext cx="5931535" cy="4906010"/>
                    </a:xfrm>
                    <a:prstGeom prst="rect">
                      <a:avLst/>
                    </a:prstGeom>
                  </pic:spPr>
                </pic:pic>
              </a:graphicData>
            </a:graphic>
          </wp:inline>
        </w:drawing>
      </w:r>
      <w:bookmarkEnd w:id="0"/>
    </w:p>
    <w:sectPr>
      <w:pgSz w:w="11906" w:h="16838"/>
      <w:pgMar w:top="102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YTJmMTdlYTIzZGJjMGNkOGQzMmRkMjFlNGY0ZDkifQ=="/>
  </w:docVars>
  <w:rsids>
    <w:rsidRoot w:val="289A3D43"/>
    <w:rsid w:val="27A716A4"/>
    <w:rsid w:val="289A3D43"/>
    <w:rsid w:val="79936EF3"/>
    <w:rsid w:val="7F6E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5589</Words>
  <Characters>5745</Characters>
  <Lines>0</Lines>
  <Paragraphs>0</Paragraphs>
  <TotalTime>8</TotalTime>
  <ScaleCrop>false</ScaleCrop>
  <LinksUpToDate>false</LinksUpToDate>
  <CharactersWithSpaces>5853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2021-01-19T07:39:00Z</dcterms:created>
  <dc:creator>Administrator</dc:creator>
  <cp:lastModifiedBy>罗玉玲</cp:lastModifiedBy>
  <dcterms:modified xsi:type="dcterms:W3CDTF">2022-09-28T08:36:23Z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1DDEA437E66344EE9A389C5AD0947E31</vt:lpwstr>
  </property>
</Properties>
</file>