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30" w:rsidRDefault="00CE4C30">
      <w:pPr>
        <w:widowControl/>
        <w:jc w:val="center"/>
        <w:rPr>
          <w:rFonts w:ascii="楷体_GB2312" w:eastAsia="楷体_GB2312" w:hAnsi="宋体" w:cs="宋体"/>
          <w:b/>
          <w:color w:val="FF0000"/>
          <w:kern w:val="0"/>
          <w:sz w:val="44"/>
          <w:szCs w:val="44"/>
        </w:rPr>
      </w:pPr>
    </w:p>
    <w:p w:rsidR="00CE4C30" w:rsidRDefault="00CE4C30">
      <w:pPr>
        <w:widowControl/>
        <w:jc w:val="center"/>
        <w:rPr>
          <w:rFonts w:ascii="楷体_GB2312" w:eastAsia="楷体_GB2312" w:hAnsi="宋体" w:cs="宋体"/>
          <w:b/>
          <w:color w:val="FF0000"/>
          <w:kern w:val="0"/>
          <w:sz w:val="44"/>
          <w:szCs w:val="44"/>
        </w:rPr>
      </w:pPr>
    </w:p>
    <w:p w:rsidR="00CE4C30" w:rsidRDefault="00CE4C30">
      <w:pPr>
        <w:widowControl/>
        <w:jc w:val="center"/>
        <w:rPr>
          <w:rFonts w:ascii="楷体_GB2312" w:eastAsia="楷体_GB2312" w:hAnsi="宋体" w:cs="宋体"/>
          <w:b/>
          <w:color w:val="FF0000"/>
          <w:kern w:val="0"/>
          <w:sz w:val="44"/>
          <w:szCs w:val="44"/>
        </w:rPr>
      </w:pPr>
    </w:p>
    <w:p w:rsidR="00CE4C30" w:rsidRDefault="00CE4C30">
      <w:pPr>
        <w:widowControl/>
        <w:jc w:val="center"/>
        <w:rPr>
          <w:rFonts w:ascii="楷体_GB2312" w:eastAsia="楷体_GB2312" w:hAnsi="宋体" w:cs="宋体"/>
          <w:b/>
          <w:kern w:val="0"/>
          <w:sz w:val="44"/>
          <w:szCs w:val="44"/>
        </w:rPr>
      </w:pPr>
      <w:r>
        <w:rPr>
          <w:rFonts w:ascii="楷体_GB2312" w:eastAsia="楷体_GB2312" w:hAnsi="宋体" w:cs="宋体" w:hint="eastAsia"/>
          <w:b/>
          <w:kern w:val="0"/>
          <w:sz w:val="44"/>
          <w:szCs w:val="44"/>
        </w:rPr>
        <w:t>东南大学成贤学院</w:t>
      </w:r>
    </w:p>
    <w:p w:rsidR="00CE4C30" w:rsidRDefault="00CE4C30">
      <w:pPr>
        <w:widowControl/>
        <w:jc w:val="center"/>
        <w:rPr>
          <w:rFonts w:ascii="楷体_GB2312" w:eastAsia="楷体_GB2312" w:hAnsi="宋体" w:cs="宋体"/>
          <w:b/>
          <w:color w:val="000000"/>
          <w:kern w:val="0"/>
          <w:sz w:val="48"/>
          <w:szCs w:val="48"/>
        </w:rPr>
      </w:pPr>
      <w:r>
        <w:rPr>
          <w:rFonts w:ascii="楷体_GB2312" w:eastAsia="楷体_GB2312" w:hAnsi="宋体" w:cs="宋体" w:hint="eastAsia"/>
          <w:b/>
          <w:color w:val="000000"/>
          <w:kern w:val="0"/>
          <w:sz w:val="48"/>
          <w:szCs w:val="48"/>
        </w:rPr>
        <w:t>本科教学质量报告</w:t>
      </w:r>
    </w:p>
    <w:p w:rsidR="00CE4C30" w:rsidRDefault="00CE4C30">
      <w:pPr>
        <w:widowControl/>
        <w:jc w:val="center"/>
        <w:rPr>
          <w:rFonts w:ascii="楷体_GB2312" w:eastAsia="楷体_GB2312" w:hAnsi="宋体" w:cs="宋体"/>
          <w:b/>
          <w:color w:val="000000"/>
          <w:kern w:val="0"/>
          <w:sz w:val="44"/>
          <w:szCs w:val="44"/>
        </w:rPr>
      </w:pPr>
      <w:r>
        <w:rPr>
          <w:rFonts w:ascii="楷体_GB2312" w:eastAsia="楷体_GB2312" w:hAnsi="宋体" w:cs="宋体" w:hint="eastAsia"/>
          <w:b/>
          <w:color w:val="000000"/>
          <w:kern w:val="0"/>
          <w:sz w:val="44"/>
          <w:szCs w:val="44"/>
        </w:rPr>
        <w:t>（201</w:t>
      </w:r>
      <w:r w:rsidR="003A55CD">
        <w:rPr>
          <w:rFonts w:ascii="楷体_GB2312" w:eastAsia="楷体_GB2312" w:hAnsi="宋体" w:cs="宋体" w:hint="eastAsia"/>
          <w:b/>
          <w:color w:val="000000"/>
          <w:kern w:val="0"/>
          <w:sz w:val="44"/>
          <w:szCs w:val="44"/>
        </w:rPr>
        <w:t>6-2017学</w:t>
      </w:r>
      <w:r>
        <w:rPr>
          <w:rFonts w:ascii="楷体_GB2312" w:eastAsia="楷体_GB2312" w:hAnsi="宋体" w:cs="宋体" w:hint="eastAsia"/>
          <w:b/>
          <w:color w:val="000000"/>
          <w:kern w:val="0"/>
          <w:sz w:val="44"/>
          <w:szCs w:val="44"/>
        </w:rPr>
        <w:t>年）</w:t>
      </w: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widowControl/>
        <w:jc w:val="center"/>
        <w:rPr>
          <w:rFonts w:ascii="楷体_GB2312" w:eastAsia="楷体_GB2312" w:hAnsi="宋体" w:cs="宋体"/>
          <w:b/>
          <w:color w:val="000000"/>
          <w:kern w:val="0"/>
          <w:sz w:val="44"/>
          <w:szCs w:val="44"/>
        </w:rPr>
      </w:pPr>
    </w:p>
    <w:p w:rsidR="00CE4C30" w:rsidRDefault="00CE4C30">
      <w:pPr>
        <w:pStyle w:val="Default"/>
      </w:pPr>
    </w:p>
    <w:p w:rsidR="00CE4C30" w:rsidRDefault="00CE4C30">
      <w:pPr>
        <w:pStyle w:val="Default"/>
        <w:jc w:val="center"/>
        <w:rPr>
          <w:b/>
          <w:sz w:val="32"/>
          <w:szCs w:val="32"/>
        </w:rPr>
      </w:pPr>
      <w:r>
        <w:rPr>
          <w:rFonts w:hint="eastAsia"/>
          <w:b/>
          <w:sz w:val="32"/>
          <w:szCs w:val="32"/>
        </w:rPr>
        <w:t>东南大学成贤学院</w:t>
      </w:r>
    </w:p>
    <w:p w:rsidR="00CE4C30" w:rsidRDefault="00CE4C30">
      <w:pPr>
        <w:widowControl/>
        <w:jc w:val="center"/>
        <w:rPr>
          <w:rFonts w:ascii="楷体_GB2312" w:eastAsia="楷体_GB2312" w:hAnsi="宋体" w:cs="宋体"/>
          <w:b/>
          <w:color w:val="000000"/>
          <w:kern w:val="0"/>
          <w:sz w:val="44"/>
          <w:szCs w:val="44"/>
        </w:rPr>
      </w:pPr>
      <w:r>
        <w:rPr>
          <w:b/>
          <w:sz w:val="32"/>
          <w:szCs w:val="32"/>
        </w:rPr>
        <w:t>201</w:t>
      </w:r>
      <w:r w:rsidR="00884327">
        <w:rPr>
          <w:rFonts w:hint="eastAsia"/>
          <w:b/>
          <w:sz w:val="32"/>
          <w:szCs w:val="32"/>
        </w:rPr>
        <w:t>7</w:t>
      </w:r>
      <w:r>
        <w:rPr>
          <w:b/>
          <w:sz w:val="32"/>
          <w:szCs w:val="32"/>
        </w:rPr>
        <w:t>年</w:t>
      </w:r>
      <w:r>
        <w:rPr>
          <w:rFonts w:hint="eastAsia"/>
          <w:b/>
          <w:sz w:val="32"/>
          <w:szCs w:val="32"/>
        </w:rPr>
        <w:t>1</w:t>
      </w:r>
      <w:r w:rsidR="00884327">
        <w:rPr>
          <w:rFonts w:hint="eastAsia"/>
          <w:b/>
          <w:sz w:val="32"/>
          <w:szCs w:val="32"/>
        </w:rPr>
        <w:t>2</w:t>
      </w:r>
      <w:r>
        <w:rPr>
          <w:b/>
          <w:sz w:val="32"/>
          <w:szCs w:val="32"/>
        </w:rPr>
        <w:t>月</w:t>
      </w:r>
    </w:p>
    <w:p w:rsidR="00CE4C30" w:rsidRDefault="00CE4C30">
      <w:pPr>
        <w:widowControl/>
        <w:jc w:val="center"/>
        <w:outlineLvl w:val="0"/>
        <w:rPr>
          <w:rFonts w:ascii="楷体_GB2312" w:eastAsia="楷体_GB2312" w:hAnsi="Verdana" w:cs="宋体"/>
          <w:b/>
          <w:bCs/>
          <w:color w:val="000000"/>
          <w:kern w:val="36"/>
          <w:sz w:val="30"/>
          <w:szCs w:val="30"/>
        </w:rPr>
      </w:pPr>
    </w:p>
    <w:p w:rsidR="00CE4C30" w:rsidRDefault="00CE4C30">
      <w:pPr>
        <w:widowControl/>
        <w:jc w:val="center"/>
        <w:outlineLvl w:val="0"/>
        <w:rPr>
          <w:rFonts w:ascii="楷体_GB2312" w:eastAsia="楷体_GB2312" w:hAnsi="Verdana" w:cs="宋体"/>
          <w:b/>
          <w:bCs/>
          <w:color w:val="000000"/>
          <w:kern w:val="36"/>
          <w:sz w:val="30"/>
          <w:szCs w:val="30"/>
        </w:rPr>
      </w:pPr>
    </w:p>
    <w:p w:rsidR="00CE4C30" w:rsidRDefault="00CE4C30">
      <w:pPr>
        <w:widowControl/>
        <w:jc w:val="center"/>
        <w:outlineLvl w:val="0"/>
        <w:rPr>
          <w:rFonts w:ascii="楷体_GB2312" w:eastAsia="楷体_GB2312" w:hAnsi="Verdana" w:cs="宋体"/>
          <w:b/>
          <w:bCs/>
          <w:color w:val="000000"/>
          <w:kern w:val="36"/>
          <w:sz w:val="30"/>
          <w:szCs w:val="30"/>
        </w:rPr>
      </w:pPr>
    </w:p>
    <w:p w:rsidR="00CE4C30" w:rsidRDefault="00CE4C30">
      <w:pPr>
        <w:widowControl/>
        <w:jc w:val="center"/>
        <w:outlineLvl w:val="0"/>
        <w:rPr>
          <w:rFonts w:ascii="宋体" w:hAnsi="宋体"/>
          <w:b/>
          <w:sz w:val="36"/>
          <w:szCs w:val="36"/>
        </w:rPr>
      </w:pPr>
      <w:r>
        <w:rPr>
          <w:rFonts w:ascii="宋体" w:hAnsi="宋体" w:hint="eastAsia"/>
          <w:b/>
          <w:sz w:val="36"/>
          <w:szCs w:val="36"/>
        </w:rPr>
        <w:t>目  录</w:t>
      </w:r>
    </w:p>
    <w:p w:rsidR="00CE4C30" w:rsidRDefault="00CE4C30">
      <w:pPr>
        <w:widowControl/>
        <w:outlineLvl w:val="0"/>
        <w:rPr>
          <w:rFonts w:ascii="楷体_GB2312" w:eastAsia="楷体_GB2312" w:hAnsi="Verdana" w:cs="宋体"/>
          <w:b/>
          <w:bCs/>
          <w:color w:val="000000"/>
          <w:kern w:val="36"/>
          <w:sz w:val="30"/>
          <w:szCs w:val="30"/>
        </w:rPr>
      </w:pPr>
    </w:p>
    <w:p w:rsidR="00CE4C30" w:rsidRDefault="00CE4C30">
      <w:pPr>
        <w:spacing w:line="480" w:lineRule="auto"/>
        <w:rPr>
          <w:rFonts w:ascii="宋体" w:hAnsi="宋体"/>
          <w:b/>
          <w:sz w:val="24"/>
        </w:rPr>
      </w:pPr>
      <w:r>
        <w:rPr>
          <w:rFonts w:ascii="宋体" w:hAnsi="宋体" w:hint="eastAsia"/>
          <w:b/>
          <w:sz w:val="24"/>
        </w:rPr>
        <w:t>一、本科教学基本情况</w:t>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p>
    <w:p w:rsidR="00CE4C30" w:rsidRDefault="00CE4C30">
      <w:pPr>
        <w:spacing w:line="360" w:lineRule="auto"/>
        <w:ind w:firstLineChars="200" w:firstLine="480"/>
        <w:rPr>
          <w:rFonts w:ascii="宋体" w:hAnsi="宋体"/>
          <w:sz w:val="24"/>
        </w:rPr>
      </w:pPr>
      <w:r>
        <w:rPr>
          <w:rFonts w:ascii="宋体" w:hAnsi="宋体" w:hint="eastAsia"/>
          <w:sz w:val="24"/>
        </w:rPr>
        <w:t>1.人才培养目标</w:t>
      </w:r>
      <w:r>
        <w:rPr>
          <w:rFonts w:ascii="宋体" w:hAnsi="宋体" w:hint="eastAsia"/>
          <w:sz w:val="24"/>
        </w:rPr>
        <w:tab/>
      </w:r>
    </w:p>
    <w:p w:rsidR="00CE4C30" w:rsidRDefault="00CE4C30">
      <w:pPr>
        <w:spacing w:line="360" w:lineRule="auto"/>
        <w:ind w:firstLineChars="200" w:firstLine="480"/>
        <w:rPr>
          <w:rFonts w:ascii="宋体" w:hAnsi="宋体"/>
          <w:sz w:val="24"/>
        </w:rPr>
      </w:pPr>
      <w:r>
        <w:rPr>
          <w:rFonts w:ascii="宋体" w:hAnsi="宋体" w:hint="eastAsia"/>
          <w:sz w:val="24"/>
        </w:rPr>
        <w:t>2.专业设置</w:t>
      </w:r>
    </w:p>
    <w:p w:rsidR="00CE4C30" w:rsidRDefault="00CE4C30">
      <w:pPr>
        <w:spacing w:line="360" w:lineRule="auto"/>
        <w:ind w:firstLineChars="200" w:firstLine="480"/>
        <w:rPr>
          <w:rFonts w:ascii="宋体" w:hAnsi="宋体"/>
          <w:sz w:val="24"/>
        </w:rPr>
      </w:pPr>
      <w:r>
        <w:rPr>
          <w:rFonts w:ascii="宋体" w:hAnsi="宋体" w:hint="eastAsia"/>
          <w:sz w:val="24"/>
        </w:rPr>
        <w:t>3.在校生及生源情况</w:t>
      </w:r>
    </w:p>
    <w:p w:rsidR="00CE4C30" w:rsidRDefault="00CE4C30">
      <w:pPr>
        <w:spacing w:line="480" w:lineRule="auto"/>
        <w:rPr>
          <w:rFonts w:ascii="宋体" w:hAnsi="宋体"/>
          <w:b/>
          <w:sz w:val="24"/>
        </w:rPr>
      </w:pPr>
      <w:r>
        <w:rPr>
          <w:rFonts w:ascii="宋体" w:hAnsi="宋体" w:hint="eastAsia"/>
          <w:b/>
          <w:sz w:val="24"/>
        </w:rPr>
        <w:t>二、师资与教学条件</w:t>
      </w:r>
      <w:r>
        <w:rPr>
          <w:rFonts w:ascii="宋体" w:hAnsi="宋体" w:hint="eastAsia"/>
          <w:b/>
          <w:sz w:val="24"/>
        </w:rPr>
        <w:tab/>
      </w:r>
    </w:p>
    <w:p w:rsidR="00CE4C30" w:rsidRDefault="00CE4C30">
      <w:pPr>
        <w:spacing w:line="360" w:lineRule="auto"/>
        <w:ind w:firstLineChars="200" w:firstLine="480"/>
        <w:rPr>
          <w:rFonts w:ascii="宋体" w:hAnsi="宋体"/>
          <w:sz w:val="24"/>
        </w:rPr>
      </w:pPr>
      <w:r>
        <w:rPr>
          <w:rFonts w:ascii="宋体" w:hAnsi="宋体" w:hint="eastAsia"/>
          <w:sz w:val="24"/>
        </w:rPr>
        <w:t xml:space="preserve">1.师资队伍 </w:t>
      </w:r>
    </w:p>
    <w:p w:rsidR="00CE4C30" w:rsidRDefault="00CE4C30">
      <w:pPr>
        <w:spacing w:line="360" w:lineRule="auto"/>
        <w:ind w:firstLineChars="200" w:firstLine="480"/>
        <w:rPr>
          <w:rFonts w:ascii="宋体" w:hAnsi="宋体"/>
          <w:sz w:val="24"/>
        </w:rPr>
      </w:pPr>
      <w:r>
        <w:rPr>
          <w:rFonts w:ascii="宋体" w:hAnsi="宋体" w:hint="eastAsia"/>
          <w:sz w:val="24"/>
        </w:rPr>
        <w:t xml:space="preserve">2.教学条件 </w:t>
      </w:r>
    </w:p>
    <w:p w:rsidR="00CE4C30" w:rsidRDefault="00CE4C30">
      <w:pPr>
        <w:spacing w:line="480" w:lineRule="auto"/>
        <w:rPr>
          <w:rFonts w:ascii="宋体" w:hAnsi="宋体"/>
          <w:b/>
          <w:sz w:val="24"/>
        </w:rPr>
      </w:pPr>
      <w:r>
        <w:rPr>
          <w:rFonts w:ascii="宋体" w:hAnsi="宋体" w:hint="eastAsia"/>
          <w:b/>
          <w:sz w:val="24"/>
        </w:rPr>
        <w:t>三、本科教学建设</w:t>
      </w:r>
    </w:p>
    <w:p w:rsidR="00CE4C30" w:rsidRDefault="00CE4C30">
      <w:pPr>
        <w:spacing w:line="360" w:lineRule="auto"/>
        <w:ind w:firstLineChars="200" w:firstLine="480"/>
        <w:rPr>
          <w:rFonts w:ascii="宋体" w:hAnsi="宋体"/>
          <w:sz w:val="24"/>
        </w:rPr>
      </w:pPr>
      <w:r>
        <w:rPr>
          <w:rFonts w:ascii="宋体" w:hAnsi="宋体" w:hint="eastAsia"/>
          <w:sz w:val="24"/>
        </w:rPr>
        <w:t>1.专业综合改革试点</w:t>
      </w:r>
    </w:p>
    <w:p w:rsidR="00CE4C30" w:rsidRDefault="00CE4C30">
      <w:pPr>
        <w:spacing w:line="360" w:lineRule="auto"/>
        <w:ind w:firstLineChars="200" w:firstLine="480"/>
        <w:rPr>
          <w:rFonts w:ascii="宋体" w:hAnsi="宋体"/>
          <w:sz w:val="24"/>
        </w:rPr>
      </w:pPr>
      <w:r>
        <w:rPr>
          <w:rFonts w:ascii="宋体" w:hAnsi="宋体" w:hint="eastAsia"/>
          <w:sz w:val="24"/>
        </w:rPr>
        <w:t>2.人才培养方案修订</w:t>
      </w:r>
    </w:p>
    <w:p w:rsidR="00CE4C30" w:rsidRDefault="00CE4C30">
      <w:pPr>
        <w:spacing w:line="360" w:lineRule="auto"/>
        <w:ind w:firstLineChars="200" w:firstLine="480"/>
        <w:rPr>
          <w:rFonts w:ascii="宋体" w:hAnsi="宋体"/>
          <w:sz w:val="24"/>
        </w:rPr>
      </w:pPr>
      <w:r>
        <w:rPr>
          <w:rFonts w:ascii="宋体" w:hAnsi="宋体" w:hint="eastAsia"/>
          <w:sz w:val="24"/>
        </w:rPr>
        <w:t>3.教学研究与改革</w:t>
      </w:r>
    </w:p>
    <w:p w:rsidR="00CE4C30" w:rsidRDefault="00CE4C30">
      <w:pPr>
        <w:spacing w:line="360" w:lineRule="auto"/>
        <w:ind w:firstLineChars="200" w:firstLine="480"/>
        <w:rPr>
          <w:rFonts w:ascii="宋体" w:hAnsi="宋体"/>
          <w:sz w:val="24"/>
        </w:rPr>
      </w:pPr>
      <w:r>
        <w:rPr>
          <w:rFonts w:ascii="宋体" w:hAnsi="宋体" w:hint="eastAsia"/>
          <w:sz w:val="24"/>
        </w:rPr>
        <w:t>4.课程建设</w:t>
      </w:r>
    </w:p>
    <w:p w:rsidR="00CE4C30" w:rsidRDefault="00CE4C30">
      <w:pPr>
        <w:spacing w:line="360" w:lineRule="auto"/>
        <w:ind w:firstLineChars="200" w:firstLine="480"/>
        <w:rPr>
          <w:rFonts w:ascii="宋体" w:hAnsi="宋体"/>
          <w:sz w:val="24"/>
        </w:rPr>
      </w:pPr>
      <w:r>
        <w:rPr>
          <w:rFonts w:ascii="宋体" w:hAnsi="宋体" w:hint="eastAsia"/>
          <w:sz w:val="24"/>
        </w:rPr>
        <w:t>5.教材建设</w:t>
      </w:r>
    </w:p>
    <w:p w:rsidR="00CE4C30" w:rsidRDefault="00CE4C30">
      <w:pPr>
        <w:spacing w:line="360" w:lineRule="auto"/>
        <w:ind w:firstLineChars="200" w:firstLine="480"/>
        <w:rPr>
          <w:rFonts w:ascii="宋体" w:hAnsi="宋体"/>
          <w:sz w:val="24"/>
        </w:rPr>
      </w:pPr>
      <w:r>
        <w:rPr>
          <w:rFonts w:ascii="宋体" w:hAnsi="宋体" w:hint="eastAsia"/>
          <w:sz w:val="24"/>
        </w:rPr>
        <w:t>6.学生实践能力培养</w:t>
      </w:r>
    </w:p>
    <w:p w:rsidR="00CE4C30" w:rsidRDefault="00CE4C30">
      <w:pPr>
        <w:spacing w:line="360" w:lineRule="auto"/>
        <w:ind w:firstLineChars="200" w:firstLine="480"/>
        <w:rPr>
          <w:rFonts w:ascii="宋体" w:hAnsi="宋体"/>
          <w:sz w:val="24"/>
        </w:rPr>
      </w:pPr>
      <w:r>
        <w:rPr>
          <w:rFonts w:ascii="宋体" w:hAnsi="宋体" w:hint="eastAsia"/>
          <w:sz w:val="24"/>
        </w:rPr>
        <w:lastRenderedPageBreak/>
        <w:t>7.合作教育</w:t>
      </w:r>
    </w:p>
    <w:p w:rsidR="00CE4C30" w:rsidRDefault="00CE4C30">
      <w:pPr>
        <w:spacing w:line="480" w:lineRule="auto"/>
        <w:rPr>
          <w:rFonts w:ascii="宋体" w:hAnsi="宋体"/>
          <w:b/>
          <w:sz w:val="24"/>
        </w:rPr>
      </w:pPr>
      <w:r>
        <w:rPr>
          <w:rFonts w:ascii="宋体" w:hAnsi="宋体" w:hint="eastAsia"/>
          <w:b/>
          <w:sz w:val="24"/>
        </w:rPr>
        <w:t>四、教学质量保证体系</w:t>
      </w:r>
    </w:p>
    <w:p w:rsidR="00CE4C30" w:rsidRDefault="00CE4C30">
      <w:pPr>
        <w:spacing w:line="360" w:lineRule="auto"/>
        <w:ind w:firstLineChars="200" w:firstLine="480"/>
        <w:rPr>
          <w:rFonts w:ascii="宋体" w:hAnsi="宋体"/>
          <w:sz w:val="24"/>
        </w:rPr>
      </w:pPr>
      <w:r>
        <w:rPr>
          <w:rFonts w:ascii="宋体" w:hAnsi="宋体" w:hint="eastAsia"/>
          <w:sz w:val="24"/>
        </w:rPr>
        <w:t>1.体系建设</w:t>
      </w:r>
    </w:p>
    <w:p w:rsidR="00CE4C30" w:rsidRDefault="00CE4C30">
      <w:pPr>
        <w:spacing w:line="360" w:lineRule="auto"/>
        <w:ind w:firstLineChars="200" w:firstLine="480"/>
        <w:rPr>
          <w:rFonts w:ascii="宋体" w:hAnsi="宋体"/>
          <w:sz w:val="24"/>
        </w:rPr>
      </w:pPr>
      <w:r>
        <w:rPr>
          <w:rFonts w:ascii="宋体" w:hAnsi="宋体" w:hint="eastAsia"/>
          <w:sz w:val="24"/>
        </w:rPr>
        <w:t>2.日常运行</w:t>
      </w:r>
    </w:p>
    <w:p w:rsidR="00CE4C30" w:rsidRDefault="00CE4C30">
      <w:pPr>
        <w:spacing w:line="480" w:lineRule="auto"/>
        <w:rPr>
          <w:rFonts w:ascii="宋体" w:hAnsi="宋体"/>
          <w:b/>
          <w:sz w:val="24"/>
        </w:rPr>
      </w:pPr>
      <w:r>
        <w:rPr>
          <w:rFonts w:ascii="宋体" w:hAnsi="宋体" w:hint="eastAsia"/>
          <w:b/>
          <w:sz w:val="24"/>
        </w:rPr>
        <w:t>五、存在问题及改进措施</w:t>
      </w:r>
    </w:p>
    <w:p w:rsidR="00CE4C30" w:rsidRDefault="00CE4C30">
      <w:pPr>
        <w:widowControl/>
        <w:spacing w:before="340" w:after="330"/>
        <w:ind w:firstLineChars="200" w:firstLine="480"/>
        <w:jc w:val="left"/>
        <w:outlineLvl w:val="0"/>
        <w:rPr>
          <w:rFonts w:ascii="楷体_GB2312" w:eastAsia="楷体_GB2312" w:hAnsi="宋体" w:cs="宋体"/>
          <w:color w:val="000000"/>
          <w:kern w:val="0"/>
          <w:sz w:val="24"/>
          <w:lang w:bidi="bn-BD"/>
        </w:rPr>
      </w:pPr>
    </w:p>
    <w:p w:rsidR="00CE4C30" w:rsidRDefault="00CE4C30">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884327" w:rsidRDefault="00884327">
      <w:pPr>
        <w:widowControl/>
        <w:spacing w:before="340" w:after="330"/>
        <w:ind w:firstLineChars="200" w:firstLine="480"/>
        <w:jc w:val="left"/>
        <w:outlineLvl w:val="0"/>
        <w:rPr>
          <w:rFonts w:ascii="楷体_GB2312" w:eastAsia="楷体_GB2312" w:hAnsi="宋体" w:cs="宋体"/>
          <w:color w:val="000000"/>
          <w:kern w:val="0"/>
          <w:sz w:val="24"/>
          <w:lang w:bidi="bn-BD"/>
        </w:rPr>
      </w:pP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lastRenderedPageBreak/>
        <w:t>东南大学成贤学院始创于1998年，2003年经教育部批准更用现名，是由“985”“211”重点建设高校东南大学用全新的办学理念和运行模式举办的独立学院，培养普通全日制本科学生</w:t>
      </w:r>
      <w:r w:rsidR="005B4475">
        <w:rPr>
          <w:rFonts w:ascii="楷体_GB2312" w:eastAsia="楷体_GB2312" w:hint="eastAsia"/>
          <w:sz w:val="24"/>
        </w:rPr>
        <w:t>。2010年6月，学院被评为“江苏省高校先进基层党组织”</w:t>
      </w:r>
      <w:r w:rsidR="00321F2E">
        <w:rPr>
          <w:rFonts w:ascii="楷体_GB2312" w:eastAsia="楷体_GB2312" w:hint="eastAsia"/>
          <w:sz w:val="24"/>
        </w:rPr>
        <w:t>，</w:t>
      </w:r>
      <w:r w:rsidR="0010788C">
        <w:rPr>
          <w:rFonts w:ascii="楷体_GB2312" w:eastAsia="楷体_GB2312" w:hint="eastAsia"/>
          <w:sz w:val="24"/>
        </w:rPr>
        <w:t>是全省唯一获得此项殊荣的独立学院。</w:t>
      </w:r>
      <w:r>
        <w:rPr>
          <w:rFonts w:ascii="楷体_GB2312" w:eastAsia="楷体_GB2312" w:hint="eastAsia"/>
          <w:sz w:val="24"/>
        </w:rPr>
        <w:t>2012年3月，学校顺利完成事业单位法人登记，成为江苏省首批完成事业单位法人登记试点的独立学院。</w:t>
      </w:r>
      <w:r w:rsidR="0010788C">
        <w:rPr>
          <w:rFonts w:ascii="楷体_GB2312" w:eastAsia="楷体_GB2312" w:hint="eastAsia"/>
          <w:sz w:val="24"/>
        </w:rPr>
        <w:t>2012年10月，学院被授予“江苏省教学工作先进高校”荣誉称号，是</w:t>
      </w:r>
      <w:r w:rsidR="00AE7B90">
        <w:rPr>
          <w:rFonts w:ascii="楷体_GB2312" w:eastAsia="楷体_GB2312" w:hint="eastAsia"/>
          <w:sz w:val="24"/>
        </w:rPr>
        <w:t>全</w:t>
      </w:r>
      <w:r w:rsidR="0010788C">
        <w:rPr>
          <w:rFonts w:ascii="楷体_GB2312" w:eastAsia="楷体_GB2312" w:hint="eastAsia"/>
          <w:sz w:val="24"/>
        </w:rPr>
        <w:t>省获得</w:t>
      </w:r>
      <w:r w:rsidR="00AE7B90">
        <w:rPr>
          <w:rFonts w:ascii="楷体_GB2312" w:eastAsia="楷体_GB2312" w:hint="eastAsia"/>
          <w:sz w:val="24"/>
        </w:rPr>
        <w:t>此项荣誉称号的两所独立学院之一。近年来，学院顺利通过江苏省教育厅专业抽检评估和学位授予权评估，并获得“江苏省共青团考核优秀”“ ”江苏省价格诚信单位</w:t>
      </w:r>
      <w:proofErr w:type="gramStart"/>
      <w:r w:rsidR="00AE7B90">
        <w:rPr>
          <w:rFonts w:ascii="楷体_GB2312" w:eastAsia="楷体_GB2312" w:hint="eastAsia"/>
          <w:sz w:val="24"/>
        </w:rPr>
        <w:t>”“</w:t>
      </w:r>
      <w:proofErr w:type="gramEnd"/>
      <w:r w:rsidR="00AE7B90">
        <w:rPr>
          <w:rFonts w:ascii="楷体_GB2312" w:eastAsia="楷体_GB2312" w:hint="eastAsia"/>
          <w:sz w:val="24"/>
        </w:rPr>
        <w:t xml:space="preserve"> 江苏省平安校园“ ”江苏省模范职工小家“等荣誉称号。</w:t>
      </w:r>
      <w:r>
        <w:rPr>
          <w:rFonts w:ascii="楷体_GB2312" w:eastAsia="楷体_GB2312" w:hint="eastAsia"/>
          <w:sz w:val="24"/>
        </w:rPr>
        <w:t>办学十余年，东南大学成贤学院秉承东南大学百年办学优良传统，紧密依托东南大学优质的办学资源，求真求美、成人成贤，为国家和社会培养了近2万名各类人才，为国家和区域经济和社会发展做出了重要贡献。</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2015年，学院制定完成了《东南大学成贤学院“十三五”改革与发展规划》，进一步明确了“十三五”“建设目标：以内涵发展、特色发展为主题，以培养高素质应用性人才为主旨，致力于创模式、改机制、拓资源、求特色、图提升，大力提高服务地方经济和区域发展的能力水平，形成既区别于研究型大学、又区别于高职高专的鲜明办学特色，努力为社会政治、经济、文化发展做出更大贡献。“十三五”前期（1-2年），各项办学指标达到新建院校合格评估要求；后期（3-5年），学科专业生态、师资队伍水平、学生培养质量等重要办学指标处于国内同类高校前列；在此基础上，再用三年的时间，即2023年建院20周年时，建成具有较强影响力的高质量应用型大学。</w:t>
      </w:r>
    </w:p>
    <w:p w:rsidR="00CE4C30" w:rsidRDefault="00CE4C30" w:rsidP="003A55CD">
      <w:pPr>
        <w:spacing w:line="400" w:lineRule="exact"/>
        <w:ind w:firstLineChars="200" w:firstLine="480"/>
        <w:rPr>
          <w:rFonts w:ascii="楷体_GB2312" w:eastAsia="楷体_GB2312"/>
          <w:b/>
          <w:sz w:val="24"/>
        </w:rPr>
      </w:pPr>
      <w:bookmarkStart w:id="0" w:name="_Toc303676613"/>
      <w:r>
        <w:rPr>
          <w:rFonts w:ascii="楷体_GB2312" w:eastAsia="楷体_GB2312" w:hint="eastAsia"/>
          <w:b/>
          <w:sz w:val="24"/>
        </w:rPr>
        <w:t>一、本科教学基本情况</w:t>
      </w:r>
      <w:bookmarkEnd w:id="0"/>
    </w:p>
    <w:p w:rsidR="00CE4C30" w:rsidRDefault="00CE4C30">
      <w:pPr>
        <w:spacing w:line="400" w:lineRule="exact"/>
        <w:ind w:firstLineChars="200" w:firstLine="480"/>
        <w:rPr>
          <w:rFonts w:ascii="楷体_GB2312" w:eastAsia="楷体_GB2312"/>
          <w:sz w:val="24"/>
        </w:rPr>
      </w:pPr>
      <w:bookmarkStart w:id="1" w:name="_Toc303676614"/>
      <w:r>
        <w:rPr>
          <w:rFonts w:ascii="楷体_GB2312" w:eastAsia="楷体_GB2312" w:hint="eastAsia"/>
          <w:sz w:val="24"/>
        </w:rPr>
        <w:t>1.人才培养目标</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学校坚持立足南京，面向江苏和周边省市的区域性服务面向定位，紧紧围绕“培养适应地方经济建设和社会发展需要，面向工程现场和生产、管理一线，具有较强学习应用能力、实践动手能力、创新创业能力和职业岗位能力的高素质应用型人才”的培养目标，人才培养质量稳步提升。</w:t>
      </w:r>
    </w:p>
    <w:p w:rsidR="00917EEE" w:rsidRDefault="00917EEE">
      <w:pPr>
        <w:spacing w:line="400" w:lineRule="exact"/>
        <w:ind w:firstLineChars="200" w:firstLine="480"/>
        <w:rPr>
          <w:rFonts w:ascii="楷体_GB2312" w:eastAsia="楷体_GB2312"/>
          <w:sz w:val="24"/>
        </w:rPr>
      </w:pP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 xml:space="preserve">2.专业设置 </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学校共设置26个本科专业，涉及经济学、理学、工学、管理学、艺术学</w:t>
      </w:r>
      <w:proofErr w:type="gramStart"/>
      <w:r>
        <w:rPr>
          <w:rFonts w:ascii="楷体_GB2312" w:eastAsia="楷体_GB2312" w:hint="eastAsia"/>
          <w:sz w:val="24"/>
        </w:rPr>
        <w:t xml:space="preserve">等　　</w:t>
      </w:r>
      <w:proofErr w:type="gramEnd"/>
      <w:r>
        <w:rPr>
          <w:rFonts w:ascii="楷体_GB2312" w:eastAsia="楷体_GB2312" w:hint="eastAsia"/>
          <w:sz w:val="24"/>
        </w:rPr>
        <w:t>学科门类（见表1），其中理工类专业比例达56%，基本形成建筑与艺术设计类、化工与制药类、电子信息与计算机类、土木与交通类、电子商贸类、财税类、机电类、</w:t>
      </w:r>
      <w:proofErr w:type="gramStart"/>
      <w:r>
        <w:rPr>
          <w:rFonts w:ascii="楷体_GB2312" w:eastAsia="楷体_GB2312" w:hint="eastAsia"/>
          <w:sz w:val="24"/>
        </w:rPr>
        <w:t>电气类八大</w:t>
      </w:r>
      <w:proofErr w:type="gramEnd"/>
      <w:r>
        <w:rPr>
          <w:rFonts w:ascii="楷体_GB2312" w:eastAsia="楷体_GB2312" w:hint="eastAsia"/>
          <w:sz w:val="24"/>
        </w:rPr>
        <w:t>专业群布局。</w:t>
      </w:r>
    </w:p>
    <w:p w:rsidR="00917EEE" w:rsidRDefault="00917EEE">
      <w:pPr>
        <w:spacing w:line="400" w:lineRule="exact"/>
        <w:ind w:firstLineChars="200" w:firstLine="480"/>
        <w:rPr>
          <w:rFonts w:ascii="楷体_GB2312" w:eastAsia="楷体_GB2312"/>
          <w:sz w:val="24"/>
        </w:rPr>
      </w:pPr>
    </w:p>
    <w:p w:rsidR="00CE4C30" w:rsidRDefault="00CE4C30">
      <w:pPr>
        <w:autoSpaceDE w:val="0"/>
        <w:autoSpaceDN w:val="0"/>
        <w:adjustRightInd w:val="0"/>
        <w:spacing w:line="400" w:lineRule="exact"/>
        <w:jc w:val="center"/>
        <w:rPr>
          <w:rFonts w:ascii="楷体_GB2312" w:eastAsia="楷体_GB2312" w:hAnsi="宋体" w:cs="宋体"/>
          <w:color w:val="000000"/>
          <w:kern w:val="0"/>
          <w:sz w:val="24"/>
          <w:lang w:bidi="bn-BD"/>
        </w:rPr>
      </w:pPr>
      <w:r>
        <w:rPr>
          <w:rFonts w:ascii="楷体_GB2312" w:eastAsia="楷体_GB2312" w:hAnsi="宋体" w:cs="宋体" w:hint="eastAsia"/>
          <w:color w:val="000000"/>
          <w:kern w:val="0"/>
          <w:sz w:val="24"/>
          <w:lang w:bidi="bn-BD"/>
        </w:rPr>
        <w:lastRenderedPageBreak/>
        <w:t>表</w:t>
      </w:r>
      <w:r>
        <w:rPr>
          <w:rFonts w:ascii="楷体_GB2312" w:eastAsia="楷体_GB2312" w:hAnsi="宋体" w:cs="宋体"/>
          <w:color w:val="000000"/>
          <w:kern w:val="0"/>
          <w:sz w:val="24"/>
          <w:lang w:bidi="bn-BD"/>
        </w:rPr>
        <w:t>1</w:t>
      </w:r>
      <w:r>
        <w:rPr>
          <w:rFonts w:ascii="楷体_GB2312" w:eastAsia="楷体_GB2312" w:hAnsi="宋体" w:cs="宋体" w:hint="eastAsia"/>
          <w:color w:val="000000"/>
          <w:kern w:val="0"/>
          <w:sz w:val="24"/>
          <w:lang w:bidi="bn-BD"/>
        </w:rPr>
        <w:t xml:space="preserve">  本科专业设置情况一览表</w:t>
      </w:r>
      <w:r>
        <w:rPr>
          <w:rFonts w:ascii="楷体_GB2312" w:eastAsia="楷体_GB2312" w:hAnsi="宋体" w:cs="宋体"/>
          <w:color w:val="000000"/>
          <w:kern w:val="0"/>
          <w:sz w:val="24"/>
          <w:lang w:bidi="bn-BD"/>
        </w:rPr>
        <w:t>(201</w:t>
      </w:r>
      <w:r w:rsidR="003A55CD">
        <w:rPr>
          <w:rFonts w:ascii="楷体_GB2312" w:eastAsia="楷体_GB2312" w:hAnsi="宋体" w:cs="宋体" w:hint="eastAsia"/>
          <w:color w:val="000000"/>
          <w:kern w:val="0"/>
          <w:sz w:val="24"/>
          <w:lang w:bidi="bn-BD"/>
        </w:rPr>
        <w:t>6</w:t>
      </w:r>
      <w:r>
        <w:rPr>
          <w:rFonts w:ascii="楷体_GB2312" w:eastAsia="楷体_GB2312" w:hAnsi="宋体" w:cs="宋体" w:hint="eastAsia"/>
          <w:color w:val="000000"/>
          <w:kern w:val="0"/>
          <w:sz w:val="24"/>
          <w:lang w:bidi="bn-BD"/>
        </w:rPr>
        <w:t>年</w:t>
      </w:r>
      <w:r>
        <w:rPr>
          <w:rFonts w:ascii="楷体_GB2312" w:eastAsia="楷体_GB2312" w:hAnsi="宋体" w:cs="宋体"/>
          <w:color w:val="000000"/>
          <w:kern w:val="0"/>
          <w:sz w:val="24"/>
          <w:lang w:bidi="bn-BD"/>
        </w:rPr>
        <w:t>12</w:t>
      </w:r>
      <w:r>
        <w:rPr>
          <w:rFonts w:ascii="楷体_GB2312" w:eastAsia="楷体_GB2312" w:hAnsi="宋体" w:cs="宋体" w:hint="eastAsia"/>
          <w:color w:val="000000"/>
          <w:kern w:val="0"/>
          <w:sz w:val="24"/>
          <w:lang w:bidi="bn-BD"/>
        </w:rPr>
        <w:t>月数据</w:t>
      </w:r>
      <w:r>
        <w:rPr>
          <w:rFonts w:ascii="楷体_GB2312" w:eastAsia="楷体_GB2312" w:hAnsi="宋体" w:cs="宋体"/>
          <w:color w:val="000000"/>
          <w:kern w:val="0"/>
          <w:sz w:val="24"/>
          <w:lang w:bidi="bn-BD"/>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711"/>
        <w:gridCol w:w="1620"/>
        <w:gridCol w:w="1620"/>
        <w:gridCol w:w="1620"/>
      </w:tblGrid>
      <w:tr w:rsidR="00CE4C30">
        <w:tc>
          <w:tcPr>
            <w:tcW w:w="709" w:type="dxa"/>
            <w:vAlign w:val="center"/>
          </w:tcPr>
          <w:p w:rsidR="00CE4C30" w:rsidRDefault="00CE4C30">
            <w:pPr>
              <w:widowControl/>
              <w:jc w:val="center"/>
              <w:outlineLvl w:val="1"/>
              <w:rPr>
                <w:rFonts w:ascii="楷体_GB2312" w:eastAsia="楷体_GB2312" w:hAnsi="宋体" w:cs="宋体"/>
                <w:b/>
                <w:color w:val="000000"/>
                <w:kern w:val="0"/>
                <w:szCs w:val="21"/>
                <w:lang w:bidi="bn-BD"/>
              </w:rPr>
            </w:pPr>
            <w:r>
              <w:rPr>
                <w:rFonts w:ascii="楷体_GB2312" w:eastAsia="楷体_GB2312" w:hAnsi="宋体" w:cs="宋体" w:hint="eastAsia"/>
                <w:b/>
                <w:color w:val="000000"/>
                <w:kern w:val="0"/>
                <w:szCs w:val="21"/>
                <w:lang w:bidi="bn-BD"/>
              </w:rPr>
              <w:t>序号</w:t>
            </w:r>
          </w:p>
        </w:tc>
        <w:tc>
          <w:tcPr>
            <w:tcW w:w="2711" w:type="dxa"/>
            <w:vAlign w:val="center"/>
          </w:tcPr>
          <w:p w:rsidR="00CE4C30" w:rsidRDefault="00CE4C30">
            <w:pPr>
              <w:autoSpaceDE w:val="0"/>
              <w:autoSpaceDN w:val="0"/>
              <w:adjustRightInd w:val="0"/>
              <w:jc w:val="center"/>
              <w:rPr>
                <w:rFonts w:ascii="楷体_GB2312" w:eastAsia="楷体_GB2312" w:hAnsi="宋体" w:cs="宋体"/>
                <w:b/>
                <w:color w:val="000000"/>
                <w:kern w:val="0"/>
                <w:szCs w:val="21"/>
                <w:lang w:bidi="bn-BD"/>
              </w:rPr>
            </w:pPr>
            <w:r>
              <w:rPr>
                <w:rFonts w:ascii="楷体_GB2312" w:eastAsia="楷体_GB2312" w:hAnsi="宋体" w:cs="宋体" w:hint="eastAsia"/>
                <w:b/>
                <w:color w:val="000000"/>
                <w:kern w:val="0"/>
                <w:szCs w:val="21"/>
                <w:lang w:bidi="bn-BD"/>
              </w:rPr>
              <w:t>专业名称</w:t>
            </w:r>
          </w:p>
        </w:tc>
        <w:tc>
          <w:tcPr>
            <w:tcW w:w="1620" w:type="dxa"/>
            <w:vAlign w:val="center"/>
          </w:tcPr>
          <w:p w:rsidR="00CE4C30" w:rsidRDefault="00CE4C30">
            <w:pPr>
              <w:autoSpaceDE w:val="0"/>
              <w:autoSpaceDN w:val="0"/>
              <w:adjustRightInd w:val="0"/>
              <w:jc w:val="center"/>
              <w:rPr>
                <w:rFonts w:ascii="楷体_GB2312" w:eastAsia="楷体_GB2312" w:hAnsi="宋体" w:cs="宋体"/>
                <w:b/>
                <w:color w:val="000000"/>
                <w:kern w:val="0"/>
                <w:szCs w:val="21"/>
                <w:lang w:bidi="bn-BD"/>
              </w:rPr>
            </w:pPr>
            <w:r>
              <w:rPr>
                <w:rFonts w:ascii="楷体_GB2312" w:eastAsia="楷体_GB2312" w:hAnsi="宋体" w:cs="宋体" w:hint="eastAsia"/>
                <w:b/>
                <w:color w:val="000000"/>
                <w:kern w:val="0"/>
                <w:szCs w:val="21"/>
                <w:lang w:bidi="bn-BD"/>
              </w:rPr>
              <w:t>专业代码</w:t>
            </w:r>
          </w:p>
        </w:tc>
        <w:tc>
          <w:tcPr>
            <w:tcW w:w="1620" w:type="dxa"/>
            <w:vAlign w:val="center"/>
          </w:tcPr>
          <w:p w:rsidR="00CE4C30" w:rsidRDefault="00CE4C30">
            <w:pPr>
              <w:widowControl/>
              <w:jc w:val="center"/>
              <w:outlineLvl w:val="1"/>
              <w:rPr>
                <w:rFonts w:ascii="楷体_GB2312" w:eastAsia="楷体_GB2312" w:hAnsi="宋体" w:cs="宋体"/>
                <w:b/>
                <w:color w:val="000000"/>
                <w:kern w:val="0"/>
                <w:szCs w:val="21"/>
                <w:lang w:bidi="bn-BD"/>
              </w:rPr>
            </w:pPr>
            <w:r>
              <w:rPr>
                <w:rFonts w:ascii="楷体_GB2312" w:eastAsia="楷体_GB2312" w:hAnsi="宋体" w:cs="宋体" w:hint="eastAsia"/>
                <w:b/>
                <w:color w:val="000000"/>
                <w:kern w:val="0"/>
                <w:szCs w:val="21"/>
                <w:lang w:bidi="bn-BD"/>
              </w:rPr>
              <w:t>学科门类</w:t>
            </w:r>
          </w:p>
        </w:tc>
        <w:tc>
          <w:tcPr>
            <w:tcW w:w="1620" w:type="dxa"/>
            <w:vAlign w:val="center"/>
          </w:tcPr>
          <w:p w:rsidR="00CE4C30" w:rsidRDefault="00CE4C30">
            <w:pPr>
              <w:autoSpaceDE w:val="0"/>
              <w:autoSpaceDN w:val="0"/>
              <w:adjustRightInd w:val="0"/>
              <w:jc w:val="center"/>
              <w:rPr>
                <w:rFonts w:ascii="楷体_GB2312" w:eastAsia="楷体_GB2312" w:hAnsi="宋体" w:cs="宋体"/>
                <w:b/>
                <w:color w:val="000000"/>
                <w:kern w:val="0"/>
                <w:szCs w:val="21"/>
                <w:lang w:bidi="bn-BD"/>
              </w:rPr>
            </w:pPr>
            <w:r>
              <w:rPr>
                <w:rFonts w:ascii="楷体_GB2312" w:eastAsia="楷体_GB2312" w:hAnsi="宋体" w:cs="宋体" w:hint="eastAsia"/>
                <w:b/>
                <w:color w:val="000000"/>
                <w:kern w:val="0"/>
                <w:szCs w:val="21"/>
                <w:lang w:bidi="bn-BD"/>
              </w:rPr>
              <w:t>首届招生年度</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计算机科学与技术</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080901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2003</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软件工程</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080902</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2013</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3</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自动化</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080801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2003</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4</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电子科学与技术</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080702</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5</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电子信息工程</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080701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6</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电气工程及其自动化</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bookmarkStart w:id="2" w:name="OLE_LINK22"/>
            <w:r>
              <w:rPr>
                <w:rFonts w:ascii="楷体_GB2312" w:eastAsia="楷体_GB2312" w:hAnsi="宋体" w:cs="宋体"/>
                <w:color w:val="000000"/>
                <w:kern w:val="0"/>
                <w:szCs w:val="21"/>
                <w:lang w:bidi="bn-BD"/>
              </w:rPr>
              <w:t>080601</w:t>
            </w:r>
            <w:bookmarkEnd w:id="2"/>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2005</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7</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土木工程</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081001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8</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工程管理</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120103</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管理学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9</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交通运输</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081801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2005</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10</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工程造价</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120105</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2014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11</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国际经济与贸易</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020401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经济学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12</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物流管理</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120601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管理学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13</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电子商务</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120801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管理学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14</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会计学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120203k</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管理学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15</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财务管理</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110204</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管理学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2007</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16</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税收学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020202</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经济学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2013</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17</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市场营销</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120202</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管理学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18</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机械设计制造及其自动化</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080202</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19</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机械工程</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080201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2013</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20</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环境设计</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130503</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文学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2006</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lastRenderedPageBreak/>
              <w:t>21</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动画</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130310</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文学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2006</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22</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建筑学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082801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2010</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23</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风景园林</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082803</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2014</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24</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化学工程与工艺</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081301</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2006</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25</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制药工程</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081302</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工学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2007</w:t>
            </w:r>
          </w:p>
        </w:tc>
      </w:tr>
      <w:tr w:rsidR="00CE4C30">
        <w:tc>
          <w:tcPr>
            <w:tcW w:w="709" w:type="dxa"/>
          </w:tcPr>
          <w:p w:rsidR="00CE4C30" w:rsidRDefault="00CE4C30">
            <w:pPr>
              <w:widowControl/>
              <w:jc w:val="center"/>
              <w:outlineLvl w:val="1"/>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26</w:t>
            </w:r>
          </w:p>
        </w:tc>
        <w:tc>
          <w:tcPr>
            <w:tcW w:w="2711"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药事管理</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color w:val="000000"/>
                <w:kern w:val="0"/>
                <w:szCs w:val="21"/>
                <w:lang w:bidi="bn-BD"/>
              </w:rPr>
              <w:t>100704T</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理学</w:t>
            </w:r>
          </w:p>
        </w:tc>
        <w:tc>
          <w:tcPr>
            <w:tcW w:w="1620" w:type="dxa"/>
            <w:vAlign w:val="center"/>
          </w:tcPr>
          <w:p w:rsidR="00CE4C30" w:rsidRDefault="00CE4C30">
            <w:pPr>
              <w:widowControl/>
              <w:jc w:val="center"/>
              <w:rPr>
                <w:rFonts w:ascii="楷体_GB2312" w:eastAsia="楷体_GB2312" w:hAnsi="宋体" w:cs="宋体"/>
                <w:color w:val="000000"/>
                <w:kern w:val="0"/>
                <w:szCs w:val="21"/>
                <w:lang w:bidi="bn-BD"/>
              </w:rPr>
            </w:pPr>
            <w:r>
              <w:rPr>
                <w:rFonts w:ascii="楷体_GB2312" w:eastAsia="楷体_GB2312" w:hAnsi="宋体" w:cs="宋体" w:hint="eastAsia"/>
                <w:color w:val="000000"/>
                <w:kern w:val="0"/>
                <w:szCs w:val="21"/>
                <w:lang w:bidi="bn-BD"/>
              </w:rPr>
              <w:t>2013</w:t>
            </w:r>
          </w:p>
        </w:tc>
      </w:tr>
      <w:bookmarkEnd w:id="1"/>
    </w:tbl>
    <w:p w:rsidR="00917EEE" w:rsidRDefault="00917EEE">
      <w:pPr>
        <w:autoSpaceDE w:val="0"/>
        <w:autoSpaceDN w:val="0"/>
        <w:adjustRightInd w:val="0"/>
        <w:spacing w:line="400" w:lineRule="exact"/>
        <w:ind w:firstLineChars="200" w:firstLine="480"/>
        <w:jc w:val="left"/>
        <w:rPr>
          <w:rFonts w:ascii="楷体_GB2312" w:eastAsia="楷体_GB2312" w:hAnsi="宋体" w:cs="宋体"/>
          <w:kern w:val="0"/>
          <w:sz w:val="24"/>
          <w:lang w:bidi="bn-BD"/>
        </w:rPr>
      </w:pPr>
    </w:p>
    <w:p w:rsidR="00CE4C30" w:rsidRDefault="00CE4C30">
      <w:pPr>
        <w:autoSpaceDE w:val="0"/>
        <w:autoSpaceDN w:val="0"/>
        <w:adjustRightInd w:val="0"/>
        <w:spacing w:line="400" w:lineRule="exact"/>
        <w:ind w:firstLineChars="200" w:firstLine="480"/>
        <w:jc w:val="left"/>
        <w:rPr>
          <w:rFonts w:ascii="楷体_GB2312" w:eastAsia="楷体_GB2312" w:hAnsi="宋体" w:cs="宋体"/>
          <w:kern w:val="0"/>
          <w:sz w:val="24"/>
          <w:lang w:bidi="bn-BD"/>
        </w:rPr>
      </w:pPr>
      <w:r>
        <w:rPr>
          <w:rFonts w:ascii="楷体_GB2312" w:eastAsia="楷体_GB2312" w:hAnsi="宋体" w:cs="宋体" w:hint="eastAsia"/>
          <w:kern w:val="0"/>
          <w:sz w:val="24"/>
          <w:lang w:bidi="bn-BD"/>
        </w:rPr>
        <w:t>3.在校生及生源情况</w:t>
      </w:r>
      <w:r>
        <w:rPr>
          <w:rFonts w:ascii="楷体_GB2312" w:eastAsia="楷体_GB2312" w:hAnsi="宋体" w:cs="宋体"/>
          <w:kern w:val="0"/>
          <w:sz w:val="24"/>
          <w:lang w:bidi="bn-BD"/>
        </w:rPr>
        <w:t xml:space="preserve"> </w:t>
      </w:r>
    </w:p>
    <w:p w:rsidR="00CE4C30" w:rsidRDefault="00CE4C30">
      <w:pPr>
        <w:widowControl/>
        <w:spacing w:line="400" w:lineRule="exact"/>
        <w:ind w:firstLineChars="200" w:firstLine="480"/>
        <w:jc w:val="left"/>
        <w:outlineLvl w:val="1"/>
        <w:rPr>
          <w:rFonts w:ascii="楷体_GB2312" w:eastAsia="楷体_GB2312" w:hAnsi="宋体" w:cs="宋体"/>
          <w:kern w:val="0"/>
          <w:sz w:val="24"/>
          <w:lang w:bidi="bn-BD"/>
        </w:rPr>
      </w:pPr>
      <w:r>
        <w:rPr>
          <w:rFonts w:ascii="楷体_GB2312" w:eastAsia="楷体_GB2312" w:hAnsi="宋体" w:cs="宋体"/>
          <w:kern w:val="0"/>
          <w:sz w:val="24"/>
          <w:lang w:bidi="bn-BD"/>
        </w:rPr>
        <w:t>201</w:t>
      </w:r>
      <w:r w:rsidR="00582C6D">
        <w:rPr>
          <w:rFonts w:ascii="楷体_GB2312" w:eastAsia="楷体_GB2312" w:hAnsi="宋体" w:cs="宋体" w:hint="eastAsia"/>
          <w:kern w:val="0"/>
          <w:sz w:val="24"/>
          <w:lang w:bidi="bn-BD"/>
        </w:rPr>
        <w:t>7</w:t>
      </w:r>
      <w:r>
        <w:rPr>
          <w:rFonts w:ascii="楷体_GB2312" w:eastAsia="楷体_GB2312" w:hAnsi="宋体" w:cs="宋体" w:hint="eastAsia"/>
          <w:kern w:val="0"/>
          <w:sz w:val="24"/>
          <w:lang w:bidi="bn-BD"/>
        </w:rPr>
        <w:t>年，学校全日制在校生数为</w:t>
      </w:r>
      <w:r w:rsidR="00582C6D" w:rsidRPr="00884327">
        <w:rPr>
          <w:rFonts w:ascii="楷体_GB2312" w:eastAsia="楷体_GB2312" w:hAnsi="宋体" w:cs="宋体" w:hint="eastAsia"/>
          <w:kern w:val="0"/>
          <w:sz w:val="24"/>
          <w:lang w:bidi="bn-BD"/>
        </w:rPr>
        <w:t>10222</w:t>
      </w:r>
      <w:r>
        <w:rPr>
          <w:rFonts w:ascii="楷体_GB2312" w:eastAsia="楷体_GB2312" w:hAnsi="宋体" w:cs="宋体" w:hint="eastAsia"/>
          <w:kern w:val="0"/>
          <w:sz w:val="24"/>
          <w:lang w:bidi="bn-BD"/>
        </w:rPr>
        <w:t>人（201</w:t>
      </w:r>
      <w:r w:rsidR="00582C6D">
        <w:rPr>
          <w:rFonts w:ascii="楷体_GB2312" w:eastAsia="楷体_GB2312" w:hAnsi="宋体" w:cs="宋体" w:hint="eastAsia"/>
          <w:kern w:val="0"/>
          <w:sz w:val="24"/>
          <w:lang w:bidi="bn-BD"/>
        </w:rPr>
        <w:t>7</w:t>
      </w:r>
      <w:r>
        <w:rPr>
          <w:rFonts w:ascii="楷体_GB2312" w:eastAsia="楷体_GB2312" w:hAnsi="宋体" w:cs="宋体" w:hint="eastAsia"/>
          <w:kern w:val="0"/>
          <w:sz w:val="24"/>
          <w:lang w:bidi="bn-BD"/>
        </w:rPr>
        <w:t>年</w:t>
      </w:r>
      <w:r w:rsidR="00582C6D">
        <w:rPr>
          <w:rFonts w:ascii="楷体_GB2312" w:eastAsia="楷体_GB2312" w:hAnsi="宋体" w:cs="宋体" w:hint="eastAsia"/>
          <w:kern w:val="0"/>
          <w:sz w:val="24"/>
          <w:lang w:bidi="bn-BD"/>
        </w:rPr>
        <w:t>9</w:t>
      </w:r>
      <w:r>
        <w:rPr>
          <w:rFonts w:ascii="楷体_GB2312" w:eastAsia="楷体_GB2312" w:hAnsi="宋体" w:cs="宋体" w:hint="eastAsia"/>
          <w:kern w:val="0"/>
          <w:sz w:val="24"/>
          <w:lang w:bidi="bn-BD"/>
        </w:rPr>
        <w:t>月3</w:t>
      </w:r>
      <w:r w:rsidR="00582C6D">
        <w:rPr>
          <w:rFonts w:ascii="楷体_GB2312" w:eastAsia="楷体_GB2312" w:hAnsi="宋体" w:cs="宋体" w:hint="eastAsia"/>
          <w:kern w:val="0"/>
          <w:sz w:val="24"/>
          <w:lang w:bidi="bn-BD"/>
        </w:rPr>
        <w:t>0</w:t>
      </w:r>
      <w:r>
        <w:rPr>
          <w:rFonts w:ascii="楷体_GB2312" w:eastAsia="楷体_GB2312" w:hAnsi="宋体" w:cs="宋体" w:hint="eastAsia"/>
          <w:kern w:val="0"/>
          <w:sz w:val="24"/>
          <w:lang w:bidi="bn-BD"/>
        </w:rPr>
        <w:t>日数据）。</w:t>
      </w:r>
    </w:p>
    <w:p w:rsidR="00E03B0F" w:rsidRDefault="00CE4C30">
      <w:pPr>
        <w:widowControl/>
        <w:spacing w:line="400" w:lineRule="exact"/>
        <w:ind w:firstLineChars="200" w:firstLine="480"/>
        <w:jc w:val="left"/>
        <w:outlineLvl w:val="1"/>
        <w:rPr>
          <w:rFonts w:ascii="楷体_GB2312" w:eastAsia="楷体_GB2312" w:hAnsi="宋体" w:cs="宋体"/>
          <w:kern w:val="0"/>
          <w:sz w:val="24"/>
          <w:lang w:bidi="bn-BD"/>
        </w:rPr>
      </w:pPr>
      <w:r>
        <w:rPr>
          <w:rFonts w:ascii="楷体_GB2312" w:eastAsia="楷体_GB2312" w:hAnsi="宋体" w:cs="宋体"/>
          <w:kern w:val="0"/>
          <w:sz w:val="24"/>
          <w:lang w:bidi="bn-BD"/>
        </w:rPr>
        <w:t>201</w:t>
      </w:r>
      <w:r w:rsidR="00582C6D">
        <w:rPr>
          <w:rFonts w:ascii="楷体_GB2312" w:eastAsia="楷体_GB2312" w:hAnsi="宋体" w:cs="宋体" w:hint="eastAsia"/>
          <w:kern w:val="0"/>
          <w:sz w:val="24"/>
          <w:lang w:bidi="bn-BD"/>
        </w:rPr>
        <w:t>7</w:t>
      </w:r>
      <w:r>
        <w:rPr>
          <w:rFonts w:ascii="楷体_GB2312" w:eastAsia="楷体_GB2312" w:hAnsi="宋体" w:cs="宋体" w:hint="eastAsia"/>
          <w:kern w:val="0"/>
          <w:sz w:val="24"/>
          <w:lang w:bidi="bn-BD"/>
        </w:rPr>
        <w:t>年，在全国24个省（市、自治区）招收本科生，招生计划共</w:t>
      </w:r>
      <w:r w:rsidR="00326D78">
        <w:rPr>
          <w:rFonts w:ascii="楷体_GB2312" w:eastAsia="楷体_GB2312" w:hAnsi="宋体" w:cs="宋体" w:hint="eastAsia"/>
          <w:kern w:val="0"/>
          <w:sz w:val="24"/>
          <w:lang w:bidi="bn-BD"/>
        </w:rPr>
        <w:t>3305</w:t>
      </w:r>
      <w:r>
        <w:rPr>
          <w:rFonts w:ascii="楷体_GB2312" w:eastAsia="楷体_GB2312" w:hAnsi="宋体" w:cs="宋体" w:hint="eastAsia"/>
          <w:kern w:val="0"/>
          <w:sz w:val="24"/>
          <w:lang w:bidi="bn-BD"/>
        </w:rPr>
        <w:t>人，其</w:t>
      </w:r>
      <w:proofErr w:type="gramStart"/>
      <w:r>
        <w:rPr>
          <w:rFonts w:ascii="楷体_GB2312" w:eastAsia="楷体_GB2312" w:hAnsi="宋体" w:cs="宋体" w:hint="eastAsia"/>
          <w:kern w:val="0"/>
          <w:sz w:val="24"/>
          <w:lang w:bidi="bn-BD"/>
        </w:rPr>
        <w:t>中专转本</w:t>
      </w:r>
      <w:proofErr w:type="gramEnd"/>
      <w:r w:rsidR="00326D78">
        <w:rPr>
          <w:rFonts w:ascii="楷体_GB2312" w:eastAsia="楷体_GB2312" w:hAnsi="宋体" w:cs="宋体" w:hint="eastAsia"/>
          <w:kern w:val="0"/>
          <w:sz w:val="24"/>
          <w:lang w:bidi="bn-BD"/>
        </w:rPr>
        <w:t>500</w:t>
      </w:r>
      <w:r>
        <w:rPr>
          <w:rFonts w:ascii="楷体_GB2312" w:eastAsia="楷体_GB2312" w:hAnsi="宋体" w:cs="宋体" w:hint="eastAsia"/>
          <w:kern w:val="0"/>
          <w:sz w:val="24"/>
          <w:lang w:bidi="bn-BD"/>
        </w:rPr>
        <w:t>人，省外</w:t>
      </w:r>
      <w:r w:rsidR="00326D78">
        <w:rPr>
          <w:rFonts w:ascii="楷体_GB2312" w:eastAsia="楷体_GB2312" w:hAnsi="宋体" w:cs="宋体" w:hint="eastAsia"/>
          <w:kern w:val="0"/>
          <w:sz w:val="24"/>
          <w:lang w:bidi="bn-BD"/>
        </w:rPr>
        <w:t>1223</w:t>
      </w:r>
      <w:r>
        <w:rPr>
          <w:rFonts w:ascii="楷体_GB2312" w:eastAsia="楷体_GB2312" w:hAnsi="宋体" w:cs="宋体" w:hint="eastAsia"/>
          <w:kern w:val="0"/>
          <w:sz w:val="24"/>
          <w:lang w:bidi="bn-BD"/>
        </w:rPr>
        <w:t>人；实际</w:t>
      </w:r>
      <w:r w:rsidR="00703248">
        <w:rPr>
          <w:rFonts w:ascii="楷体_GB2312" w:eastAsia="楷体_GB2312" w:hAnsi="宋体" w:cs="宋体" w:hint="eastAsia"/>
          <w:kern w:val="0"/>
          <w:sz w:val="24"/>
          <w:lang w:bidi="bn-BD"/>
        </w:rPr>
        <w:t>报到人数为</w:t>
      </w:r>
      <w:r w:rsidR="00C06BCD">
        <w:rPr>
          <w:rFonts w:ascii="楷体_GB2312" w:eastAsia="楷体_GB2312" w:hAnsi="宋体" w:cs="宋体" w:hint="eastAsia"/>
          <w:kern w:val="0"/>
          <w:sz w:val="24"/>
          <w:lang w:bidi="bn-BD"/>
        </w:rPr>
        <w:t>3123</w:t>
      </w:r>
      <w:r>
        <w:rPr>
          <w:rFonts w:ascii="楷体_GB2312" w:eastAsia="楷体_GB2312" w:hAnsi="宋体" w:cs="宋体" w:hint="eastAsia"/>
          <w:kern w:val="0"/>
          <w:sz w:val="24"/>
          <w:lang w:bidi="bn-BD"/>
        </w:rPr>
        <w:t>人，其</w:t>
      </w:r>
      <w:proofErr w:type="gramStart"/>
      <w:r>
        <w:rPr>
          <w:rFonts w:ascii="楷体_GB2312" w:eastAsia="楷体_GB2312" w:hAnsi="宋体" w:cs="宋体" w:hint="eastAsia"/>
          <w:kern w:val="0"/>
          <w:sz w:val="24"/>
          <w:lang w:bidi="bn-BD"/>
        </w:rPr>
        <w:t>中专转本</w:t>
      </w:r>
      <w:proofErr w:type="gramEnd"/>
      <w:r w:rsidR="00C06BCD">
        <w:rPr>
          <w:rFonts w:ascii="楷体_GB2312" w:eastAsia="楷体_GB2312" w:hAnsi="宋体" w:cs="宋体" w:hint="eastAsia"/>
          <w:kern w:val="0"/>
          <w:sz w:val="24"/>
          <w:lang w:bidi="bn-BD"/>
        </w:rPr>
        <w:t>514</w:t>
      </w:r>
      <w:r>
        <w:rPr>
          <w:rFonts w:ascii="楷体_GB2312" w:eastAsia="楷体_GB2312" w:hAnsi="宋体" w:cs="宋体" w:hint="eastAsia"/>
          <w:kern w:val="0"/>
          <w:sz w:val="24"/>
          <w:lang w:bidi="bn-BD"/>
        </w:rPr>
        <w:t>人，报到率为9</w:t>
      </w:r>
      <w:r w:rsidR="00C06BCD">
        <w:rPr>
          <w:rFonts w:ascii="楷体_GB2312" w:eastAsia="楷体_GB2312" w:hAnsi="宋体" w:cs="宋体" w:hint="eastAsia"/>
          <w:kern w:val="0"/>
          <w:sz w:val="24"/>
          <w:lang w:bidi="bn-BD"/>
        </w:rPr>
        <w:t>4</w:t>
      </w:r>
      <w:r>
        <w:rPr>
          <w:rFonts w:ascii="楷体_GB2312" w:eastAsia="楷体_GB2312" w:hAnsi="宋体" w:cs="宋体" w:hint="eastAsia"/>
          <w:kern w:val="0"/>
          <w:sz w:val="24"/>
          <w:lang w:bidi="bn-BD"/>
        </w:rPr>
        <w:t>.5%。</w:t>
      </w:r>
    </w:p>
    <w:p w:rsidR="00917EEE" w:rsidRDefault="00917EEE" w:rsidP="00917EEE">
      <w:pPr>
        <w:autoSpaceDE w:val="0"/>
        <w:autoSpaceDN w:val="0"/>
        <w:adjustRightInd w:val="0"/>
        <w:spacing w:line="400" w:lineRule="exact"/>
        <w:jc w:val="center"/>
        <w:rPr>
          <w:rFonts w:ascii="楷体_GB2312" w:eastAsia="楷体_GB2312" w:hAnsi="宋体" w:cs="宋体"/>
          <w:color w:val="000000"/>
          <w:kern w:val="0"/>
          <w:sz w:val="24"/>
          <w:lang w:bidi="bn-BD"/>
        </w:rPr>
      </w:pPr>
      <w:r>
        <w:rPr>
          <w:rFonts w:ascii="楷体_GB2312" w:eastAsia="楷体_GB2312" w:hAnsi="宋体" w:cs="宋体" w:hint="eastAsia"/>
          <w:color w:val="000000"/>
          <w:kern w:val="0"/>
          <w:sz w:val="24"/>
          <w:lang w:bidi="bn-BD"/>
        </w:rPr>
        <w:t>表2 招生录取情况一览表</w:t>
      </w:r>
      <w:r>
        <w:rPr>
          <w:rFonts w:ascii="楷体_GB2312" w:eastAsia="楷体_GB2312" w:hAnsi="宋体" w:cs="宋体"/>
          <w:color w:val="000000"/>
          <w:kern w:val="0"/>
          <w:sz w:val="24"/>
          <w:lang w:bidi="bn-BD"/>
        </w:rPr>
        <w:t>(201</w:t>
      </w:r>
      <w:r>
        <w:rPr>
          <w:rFonts w:ascii="楷体_GB2312" w:eastAsia="楷体_GB2312" w:hAnsi="宋体" w:cs="宋体" w:hint="eastAsia"/>
          <w:color w:val="000000"/>
          <w:kern w:val="0"/>
          <w:sz w:val="24"/>
          <w:lang w:bidi="bn-BD"/>
        </w:rPr>
        <w:t>7年</w:t>
      </w:r>
      <w:r>
        <w:rPr>
          <w:rFonts w:ascii="楷体_GB2312" w:eastAsia="楷体_GB2312" w:hAnsi="宋体" w:cs="宋体"/>
          <w:color w:val="000000"/>
          <w:kern w:val="0"/>
          <w:sz w:val="24"/>
          <w:lang w:bidi="bn-BD"/>
        </w:rPr>
        <w:t>12</w:t>
      </w:r>
      <w:r>
        <w:rPr>
          <w:rFonts w:ascii="楷体_GB2312" w:eastAsia="楷体_GB2312" w:hAnsi="宋体" w:cs="宋体" w:hint="eastAsia"/>
          <w:color w:val="000000"/>
          <w:kern w:val="0"/>
          <w:sz w:val="24"/>
          <w:lang w:bidi="bn-BD"/>
        </w:rPr>
        <w:t>月数据</w:t>
      </w:r>
      <w:r>
        <w:rPr>
          <w:rFonts w:ascii="楷体_GB2312" w:eastAsia="楷体_GB2312" w:hAnsi="宋体" w:cs="宋体"/>
          <w:color w:val="000000"/>
          <w:kern w:val="0"/>
          <w:sz w:val="24"/>
          <w:lang w:bidi="bn-BD"/>
        </w:rPr>
        <w:t>)</w:t>
      </w:r>
    </w:p>
    <w:p w:rsidR="00917EEE" w:rsidRPr="00917EEE" w:rsidRDefault="00917EEE">
      <w:pPr>
        <w:widowControl/>
        <w:spacing w:line="400" w:lineRule="exact"/>
        <w:ind w:firstLineChars="200" w:firstLine="480"/>
        <w:jc w:val="left"/>
        <w:outlineLvl w:val="1"/>
        <w:rPr>
          <w:rFonts w:ascii="楷体_GB2312" w:eastAsia="楷体_GB2312" w:hAnsi="宋体" w:cs="宋体"/>
          <w:kern w:val="0"/>
          <w:sz w:val="24"/>
        </w:rPr>
      </w:pPr>
    </w:p>
    <w:tbl>
      <w:tblPr>
        <w:tblW w:w="0" w:type="auto"/>
        <w:tblInd w:w="94" w:type="dxa"/>
        <w:tblLayout w:type="fixed"/>
        <w:tblLook w:val="04A0"/>
      </w:tblPr>
      <w:tblGrid>
        <w:gridCol w:w="865"/>
        <w:gridCol w:w="1701"/>
        <w:gridCol w:w="709"/>
        <w:gridCol w:w="708"/>
        <w:gridCol w:w="746"/>
        <w:gridCol w:w="672"/>
        <w:gridCol w:w="709"/>
        <w:gridCol w:w="708"/>
        <w:gridCol w:w="567"/>
        <w:gridCol w:w="567"/>
        <w:gridCol w:w="476"/>
      </w:tblGrid>
      <w:tr w:rsidR="00917EEE" w:rsidRPr="005B4475" w:rsidTr="008A0BDE">
        <w:trPr>
          <w:trHeight w:val="660"/>
        </w:trPr>
        <w:tc>
          <w:tcPr>
            <w:tcW w:w="86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省份</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批次</w:t>
            </w:r>
          </w:p>
        </w:tc>
        <w:tc>
          <w:tcPr>
            <w:tcW w:w="2163" w:type="dxa"/>
            <w:gridSpan w:val="3"/>
            <w:tcBorders>
              <w:top w:val="single" w:sz="4" w:space="0" w:color="auto"/>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录取数</w:t>
            </w:r>
          </w:p>
        </w:tc>
        <w:tc>
          <w:tcPr>
            <w:tcW w:w="2089" w:type="dxa"/>
            <w:gridSpan w:val="3"/>
            <w:tcBorders>
              <w:top w:val="single" w:sz="4" w:space="0" w:color="auto"/>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批次最低控制线（分）数</w:t>
            </w:r>
          </w:p>
        </w:tc>
        <w:tc>
          <w:tcPr>
            <w:tcW w:w="1610" w:type="dxa"/>
            <w:gridSpan w:val="3"/>
            <w:tcBorders>
              <w:top w:val="single" w:sz="4" w:space="0" w:color="auto"/>
              <w:left w:val="nil"/>
              <w:bottom w:val="single" w:sz="4" w:space="0" w:color="auto"/>
              <w:right w:val="single" w:sz="4" w:space="0" w:color="000000"/>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当年录取平均分与批次最低控制线的差值（分）</w:t>
            </w:r>
          </w:p>
        </w:tc>
      </w:tr>
      <w:tr w:rsidR="00703248" w:rsidRPr="005B4475" w:rsidTr="008A0BDE">
        <w:trPr>
          <w:trHeight w:val="330"/>
        </w:trPr>
        <w:tc>
          <w:tcPr>
            <w:tcW w:w="865" w:type="dxa"/>
            <w:vMerge/>
            <w:tcBorders>
              <w:top w:val="single" w:sz="4" w:space="0" w:color="auto"/>
              <w:left w:val="single" w:sz="4" w:space="0" w:color="auto"/>
              <w:bottom w:val="single" w:sz="4" w:space="0" w:color="auto"/>
              <w:right w:val="single" w:sz="4" w:space="0" w:color="auto"/>
            </w:tcBorders>
            <w:vAlign w:val="center"/>
            <w:hideMark/>
          </w:tcPr>
          <w:p w:rsidR="00917EEE" w:rsidRPr="005B4475" w:rsidRDefault="00917EEE" w:rsidP="00917EEE">
            <w:pPr>
              <w:widowControl/>
              <w:jc w:val="left"/>
              <w:rPr>
                <w:rFonts w:ascii="微软雅黑" w:eastAsia="微软雅黑" w:hAnsi="微软雅黑" w:cs="Arial"/>
                <w:b/>
                <w:bCs/>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7EEE" w:rsidRPr="005B4475" w:rsidRDefault="00917EEE" w:rsidP="00917EEE">
            <w:pPr>
              <w:widowControl/>
              <w:jc w:val="left"/>
              <w:rPr>
                <w:rFonts w:ascii="微软雅黑" w:eastAsia="微软雅黑" w:hAnsi="微软雅黑" w:cs="Arial"/>
                <w:b/>
                <w:bCs/>
                <w:kern w:val="0"/>
                <w:sz w:val="20"/>
                <w:szCs w:val="20"/>
              </w:rPr>
            </w:pPr>
          </w:p>
        </w:tc>
        <w:tc>
          <w:tcPr>
            <w:tcW w:w="709"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文科</w:t>
            </w:r>
          </w:p>
        </w:tc>
        <w:tc>
          <w:tcPr>
            <w:tcW w:w="708"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理科</w:t>
            </w:r>
          </w:p>
        </w:tc>
        <w:tc>
          <w:tcPr>
            <w:tcW w:w="746"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spacing w:line="240" w:lineRule="atLeast"/>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不分文理</w:t>
            </w:r>
          </w:p>
        </w:tc>
        <w:tc>
          <w:tcPr>
            <w:tcW w:w="672"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文科</w:t>
            </w:r>
          </w:p>
        </w:tc>
        <w:tc>
          <w:tcPr>
            <w:tcW w:w="709"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理科</w:t>
            </w:r>
          </w:p>
        </w:tc>
        <w:tc>
          <w:tcPr>
            <w:tcW w:w="708"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不分文理</w:t>
            </w:r>
          </w:p>
        </w:tc>
        <w:tc>
          <w:tcPr>
            <w:tcW w:w="567"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文科</w:t>
            </w:r>
          </w:p>
        </w:tc>
        <w:tc>
          <w:tcPr>
            <w:tcW w:w="567"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理科</w:t>
            </w:r>
          </w:p>
        </w:tc>
        <w:tc>
          <w:tcPr>
            <w:tcW w:w="476" w:type="dxa"/>
            <w:tcBorders>
              <w:top w:val="nil"/>
              <w:left w:val="nil"/>
              <w:bottom w:val="single" w:sz="4" w:space="0" w:color="auto"/>
              <w:right w:val="single" w:sz="4" w:space="0" w:color="auto"/>
            </w:tcBorders>
            <w:shd w:val="clear" w:color="000000" w:fill="FFFF00"/>
            <w:vAlign w:val="center"/>
            <w:hideMark/>
          </w:tcPr>
          <w:p w:rsidR="00917EEE" w:rsidRPr="005B4475" w:rsidRDefault="00917EEE" w:rsidP="00917EEE">
            <w:pPr>
              <w:widowControl/>
              <w:jc w:val="center"/>
              <w:rPr>
                <w:rFonts w:ascii="微软雅黑" w:eastAsia="微软雅黑" w:hAnsi="微软雅黑" w:cs="Arial"/>
                <w:b/>
                <w:bCs/>
                <w:kern w:val="0"/>
                <w:sz w:val="20"/>
                <w:szCs w:val="20"/>
              </w:rPr>
            </w:pPr>
            <w:r w:rsidRPr="005B4475">
              <w:rPr>
                <w:rFonts w:ascii="微软雅黑" w:eastAsia="微软雅黑" w:hAnsi="微软雅黑" w:cs="Arial" w:hint="eastAsia"/>
                <w:b/>
                <w:bCs/>
                <w:kern w:val="0"/>
                <w:sz w:val="20"/>
                <w:szCs w:val="20"/>
              </w:rPr>
              <w:t>不分文理</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天津市</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第二批次招生B</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429</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403</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6.0</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河北省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24</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467</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438</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5.0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8.0</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山西省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第二批次招生B</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17</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87</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437</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377</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6.0</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lastRenderedPageBreak/>
              <w:t>辽宁省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469</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408</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3.0</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吉林省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第三批次招生A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288</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340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22</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黑龙江省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第三批次招生A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402</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364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13</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上海市</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第一批次招生</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16</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402</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浙江省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第一批次招生</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120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513</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16</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安徽省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27</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91</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482</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452</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福建省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51</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428</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361</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17</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江西省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25</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129</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485</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445</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7</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山东省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第一批次招生</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34</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495</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458</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5.0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河南省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54</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454</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420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湖北省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14</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474</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413</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湖南省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第三批次招生A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17</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478</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416</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广东省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17</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85</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448</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390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10</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广西壮族自治区</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8</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22</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394</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323</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28</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重庆市</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19</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458</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407</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18</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14</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四川省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15</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90</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489</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445</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13</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12</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贵州省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74</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436</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341</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32</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23</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云南省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7</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36</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481</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420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9.0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19</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陕西省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第三批次招生A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7</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26</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449</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390</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lastRenderedPageBreak/>
              <w:t>甘肃省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第三批次招生A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6</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445</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405</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2.0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r w:rsidR="00703248" w:rsidRPr="005B4475" w:rsidTr="008A0BDE">
        <w:trPr>
          <w:trHeight w:val="330"/>
        </w:trPr>
        <w:tc>
          <w:tcPr>
            <w:tcW w:w="865" w:type="dxa"/>
            <w:tcBorders>
              <w:top w:val="nil"/>
              <w:left w:val="single" w:sz="4" w:space="0" w:color="000000"/>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江苏省</w:t>
            </w:r>
          </w:p>
        </w:tc>
        <w:tc>
          <w:tcPr>
            <w:tcW w:w="1701"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第二批次招生A</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342</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1013</w:t>
            </w:r>
          </w:p>
        </w:tc>
        <w:tc>
          <w:tcPr>
            <w:tcW w:w="74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672"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315</w:t>
            </w:r>
          </w:p>
        </w:tc>
        <w:tc>
          <w:tcPr>
            <w:tcW w:w="709"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314</w:t>
            </w:r>
          </w:p>
        </w:tc>
        <w:tc>
          <w:tcPr>
            <w:tcW w:w="708"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703248">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3.0</w:t>
            </w:r>
          </w:p>
        </w:tc>
        <w:tc>
          <w:tcPr>
            <w:tcW w:w="567"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917EEE"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4</w:t>
            </w:r>
          </w:p>
        </w:tc>
        <w:tc>
          <w:tcPr>
            <w:tcW w:w="476" w:type="dxa"/>
            <w:tcBorders>
              <w:top w:val="nil"/>
              <w:left w:val="nil"/>
              <w:bottom w:val="single" w:sz="4" w:space="0" w:color="000000"/>
              <w:right w:val="single" w:sz="4" w:space="0" w:color="000000"/>
            </w:tcBorders>
            <w:shd w:val="clear" w:color="000000" w:fill="FFFFFF"/>
            <w:noWrap/>
            <w:vAlign w:val="center"/>
            <w:hideMark/>
          </w:tcPr>
          <w:p w:rsidR="00917EEE" w:rsidRPr="005B4475" w:rsidRDefault="00703248" w:rsidP="00917EEE">
            <w:pPr>
              <w:widowControl/>
              <w:jc w:val="center"/>
              <w:rPr>
                <w:rFonts w:ascii="微软雅黑" w:eastAsia="微软雅黑" w:hAnsi="微软雅黑" w:cs="Arial"/>
                <w:color w:val="000000"/>
                <w:kern w:val="0"/>
                <w:sz w:val="20"/>
                <w:szCs w:val="20"/>
              </w:rPr>
            </w:pPr>
            <w:r w:rsidRPr="005B4475">
              <w:rPr>
                <w:rFonts w:ascii="微软雅黑" w:eastAsia="微软雅黑" w:hAnsi="微软雅黑" w:cs="Arial" w:hint="eastAsia"/>
                <w:color w:val="000000"/>
                <w:kern w:val="0"/>
                <w:sz w:val="20"/>
                <w:szCs w:val="20"/>
              </w:rPr>
              <w:t>0</w:t>
            </w:r>
          </w:p>
        </w:tc>
      </w:tr>
    </w:tbl>
    <w:p w:rsidR="00917EEE" w:rsidRDefault="00917EEE">
      <w:pPr>
        <w:widowControl/>
        <w:spacing w:line="400" w:lineRule="exact"/>
        <w:ind w:firstLineChars="200" w:firstLine="480"/>
        <w:jc w:val="left"/>
        <w:outlineLvl w:val="1"/>
        <w:rPr>
          <w:rFonts w:ascii="楷体_GB2312" w:eastAsia="楷体_GB2312" w:hAnsi="宋体" w:cs="宋体"/>
          <w:kern w:val="0"/>
          <w:sz w:val="24"/>
          <w:lang w:bidi="bn-BD"/>
        </w:rPr>
      </w:pPr>
    </w:p>
    <w:p w:rsidR="00CE4C30" w:rsidRDefault="00E03B0F" w:rsidP="00E03B0F">
      <w:pPr>
        <w:spacing w:line="400" w:lineRule="exact"/>
        <w:rPr>
          <w:rFonts w:ascii="楷体_GB2312" w:eastAsia="楷体_GB2312"/>
          <w:b/>
          <w:sz w:val="24"/>
        </w:rPr>
      </w:pPr>
      <w:r>
        <w:rPr>
          <w:rFonts w:ascii="楷体_GB2312" w:eastAsia="楷体_GB2312" w:hint="eastAsia"/>
          <w:b/>
          <w:sz w:val="24"/>
        </w:rPr>
        <w:t xml:space="preserve">   </w:t>
      </w:r>
      <w:r w:rsidR="00CE4C30">
        <w:rPr>
          <w:rFonts w:ascii="楷体_GB2312" w:eastAsia="楷体_GB2312" w:hint="eastAsia"/>
          <w:b/>
          <w:sz w:val="24"/>
        </w:rPr>
        <w:t>二、师资与教学条件</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 xml:space="preserve">1.师资队伍 </w:t>
      </w:r>
    </w:p>
    <w:p w:rsidR="00CE4C30" w:rsidRDefault="00CE4C30" w:rsidP="003F3BAB">
      <w:pPr>
        <w:spacing w:line="400" w:lineRule="exact"/>
        <w:ind w:firstLineChars="200" w:firstLine="480"/>
        <w:rPr>
          <w:rFonts w:ascii="楷体_GB2312" w:eastAsia="楷体_GB2312" w:hint="eastAsia"/>
          <w:sz w:val="24"/>
        </w:rPr>
      </w:pPr>
      <w:r>
        <w:rPr>
          <w:rFonts w:ascii="楷体_GB2312" w:eastAsia="楷体_GB2312" w:hint="eastAsia"/>
          <w:sz w:val="24"/>
        </w:rPr>
        <w:t>截至201</w:t>
      </w:r>
      <w:r w:rsidR="00E03B0F">
        <w:rPr>
          <w:rFonts w:ascii="楷体_GB2312" w:eastAsia="楷体_GB2312" w:hint="eastAsia"/>
          <w:sz w:val="24"/>
        </w:rPr>
        <w:t>7</w:t>
      </w:r>
      <w:r>
        <w:rPr>
          <w:rFonts w:ascii="楷体_GB2312" w:eastAsia="楷体_GB2312" w:hint="eastAsia"/>
          <w:sz w:val="24"/>
        </w:rPr>
        <w:t>年</w:t>
      </w:r>
      <w:r w:rsidR="00E03B0F">
        <w:rPr>
          <w:rFonts w:ascii="楷体_GB2312" w:eastAsia="楷体_GB2312" w:hint="eastAsia"/>
          <w:sz w:val="24"/>
        </w:rPr>
        <w:t>9</w:t>
      </w:r>
      <w:r>
        <w:rPr>
          <w:rFonts w:ascii="楷体_GB2312" w:eastAsia="楷体_GB2312" w:hint="eastAsia"/>
          <w:sz w:val="24"/>
        </w:rPr>
        <w:t>月3</w:t>
      </w:r>
      <w:r w:rsidR="00E03B0F">
        <w:rPr>
          <w:rFonts w:ascii="楷体_GB2312" w:eastAsia="楷体_GB2312" w:hint="eastAsia"/>
          <w:sz w:val="24"/>
        </w:rPr>
        <w:t>0</w:t>
      </w:r>
      <w:r>
        <w:rPr>
          <w:rFonts w:ascii="楷体_GB2312" w:eastAsia="楷体_GB2312" w:hint="eastAsia"/>
          <w:sz w:val="24"/>
        </w:rPr>
        <w:t xml:space="preserve">日，专任教师总数为 </w:t>
      </w:r>
      <w:r w:rsidR="00E03B0F">
        <w:rPr>
          <w:rFonts w:ascii="楷体_GB2312" w:eastAsia="楷体_GB2312" w:hint="eastAsia"/>
          <w:sz w:val="24"/>
        </w:rPr>
        <w:t>577</w:t>
      </w:r>
      <w:r>
        <w:rPr>
          <w:rFonts w:ascii="楷体_GB2312" w:eastAsia="楷体_GB2312" w:hint="eastAsia"/>
          <w:sz w:val="24"/>
        </w:rPr>
        <w:t>人</w:t>
      </w:r>
      <w:r w:rsidR="00E03B0F">
        <w:rPr>
          <w:rFonts w:ascii="楷体_GB2312" w:eastAsia="楷体_GB2312" w:hint="eastAsia"/>
          <w:sz w:val="24"/>
        </w:rPr>
        <w:t>，外聘兼职教师61人。</w:t>
      </w:r>
      <w:r>
        <w:rPr>
          <w:rFonts w:ascii="楷体_GB2312" w:eastAsia="楷体_GB2312" w:hint="eastAsia"/>
          <w:sz w:val="24"/>
        </w:rPr>
        <w:t xml:space="preserve">职称结构：高级职称 </w:t>
      </w:r>
      <w:r w:rsidR="00E03B0F">
        <w:rPr>
          <w:rFonts w:ascii="楷体_GB2312" w:eastAsia="楷体_GB2312" w:hint="eastAsia"/>
          <w:sz w:val="24"/>
        </w:rPr>
        <w:t>313</w:t>
      </w:r>
      <w:r>
        <w:rPr>
          <w:rFonts w:ascii="楷体_GB2312" w:eastAsia="楷体_GB2312" w:hint="eastAsia"/>
          <w:sz w:val="24"/>
        </w:rPr>
        <w:t xml:space="preserve"> 人，</w:t>
      </w:r>
      <w:r w:rsidR="00E03B0F">
        <w:rPr>
          <w:rFonts w:ascii="楷体_GB2312" w:eastAsia="楷体_GB2312" w:hint="eastAsia"/>
          <w:sz w:val="24"/>
        </w:rPr>
        <w:t>其中专任教师中有2</w:t>
      </w:r>
      <w:r w:rsidR="003F3BAB">
        <w:rPr>
          <w:rFonts w:ascii="楷体_GB2312" w:eastAsia="楷体_GB2312" w:hint="eastAsia"/>
          <w:sz w:val="24"/>
        </w:rPr>
        <w:t>92</w:t>
      </w:r>
      <w:r w:rsidR="00E03B0F">
        <w:rPr>
          <w:rFonts w:ascii="楷体_GB2312" w:eastAsia="楷体_GB2312" w:hint="eastAsia"/>
          <w:sz w:val="24"/>
        </w:rPr>
        <w:t>人。具有高级职称专任教师的</w:t>
      </w:r>
      <w:proofErr w:type="gramStart"/>
      <w:r w:rsidR="00E03B0F">
        <w:rPr>
          <w:rFonts w:ascii="楷体_GB2312" w:eastAsia="楷体_GB2312" w:hint="eastAsia"/>
          <w:sz w:val="24"/>
        </w:rPr>
        <w:t>比列</w:t>
      </w:r>
      <w:proofErr w:type="gramEnd"/>
      <w:r w:rsidR="00E03B0F">
        <w:rPr>
          <w:rFonts w:ascii="楷体_GB2312" w:eastAsia="楷体_GB2312" w:hint="eastAsia"/>
          <w:sz w:val="24"/>
        </w:rPr>
        <w:t>为50.61%</w:t>
      </w:r>
      <w:r w:rsidR="003F3BAB">
        <w:rPr>
          <w:rFonts w:ascii="楷体_GB2312" w:eastAsia="楷体_GB2312" w:hint="eastAsia"/>
          <w:sz w:val="24"/>
        </w:rPr>
        <w:t>。</w:t>
      </w:r>
      <w:r>
        <w:rPr>
          <w:rFonts w:ascii="楷体_GB2312" w:eastAsia="楷体_GB2312" w:hint="eastAsia"/>
          <w:sz w:val="24"/>
        </w:rPr>
        <w:t>学位结构：</w:t>
      </w:r>
      <w:r w:rsidR="003F3BAB">
        <w:rPr>
          <w:rFonts w:ascii="楷体_GB2312" w:eastAsia="楷体_GB2312" w:hint="eastAsia"/>
          <w:sz w:val="24"/>
        </w:rPr>
        <w:t>所有教师中</w:t>
      </w:r>
      <w:r>
        <w:rPr>
          <w:rFonts w:ascii="楷体_GB2312" w:eastAsia="楷体_GB2312" w:hint="eastAsia"/>
          <w:sz w:val="24"/>
        </w:rPr>
        <w:t xml:space="preserve">硕士及以上 </w:t>
      </w:r>
      <w:r w:rsidR="003F3BAB">
        <w:rPr>
          <w:rFonts w:ascii="楷体_GB2312" w:eastAsia="楷体_GB2312" w:hint="eastAsia"/>
          <w:sz w:val="24"/>
        </w:rPr>
        <w:t>510</w:t>
      </w:r>
      <w:r>
        <w:rPr>
          <w:rFonts w:ascii="楷体_GB2312" w:eastAsia="楷体_GB2312" w:hint="eastAsia"/>
          <w:sz w:val="24"/>
        </w:rPr>
        <w:t>人，占师资总数的</w:t>
      </w:r>
      <w:r w:rsidR="003F3BAB">
        <w:rPr>
          <w:rFonts w:ascii="楷体_GB2312" w:eastAsia="楷体_GB2312" w:hint="eastAsia"/>
          <w:sz w:val="24"/>
        </w:rPr>
        <w:t>80%。201</w:t>
      </w:r>
      <w:r w:rsidR="00077BBE">
        <w:rPr>
          <w:rFonts w:ascii="楷体_GB2312" w:eastAsia="楷体_GB2312" w:hint="eastAsia"/>
          <w:sz w:val="24"/>
        </w:rPr>
        <w:t>6-2017学年</w:t>
      </w:r>
      <w:r>
        <w:rPr>
          <w:rFonts w:ascii="楷体_GB2312" w:eastAsia="楷体_GB2312" w:hint="eastAsia"/>
          <w:sz w:val="24"/>
        </w:rPr>
        <w:t xml:space="preserve">引进教师 </w:t>
      </w:r>
      <w:r w:rsidR="00077BBE">
        <w:rPr>
          <w:rFonts w:ascii="楷体_GB2312" w:eastAsia="楷体_GB2312" w:hint="eastAsia"/>
          <w:sz w:val="24"/>
        </w:rPr>
        <w:t>33</w:t>
      </w:r>
      <w:r>
        <w:rPr>
          <w:rFonts w:ascii="楷体_GB2312" w:eastAsia="楷体_GB2312" w:hint="eastAsia"/>
          <w:sz w:val="24"/>
        </w:rPr>
        <w:t xml:space="preserve"> 人，</w:t>
      </w:r>
      <w:r w:rsidR="00077BBE">
        <w:rPr>
          <w:rFonts w:ascii="楷体_GB2312" w:eastAsia="楷体_GB2312" w:hint="eastAsia"/>
          <w:sz w:val="24"/>
        </w:rPr>
        <w:t>均具有</w:t>
      </w:r>
      <w:r>
        <w:rPr>
          <w:rFonts w:ascii="楷体_GB2312" w:eastAsia="楷体_GB2312" w:hint="eastAsia"/>
          <w:sz w:val="24"/>
        </w:rPr>
        <w:t>硕士及以上</w:t>
      </w:r>
      <w:r w:rsidR="00077BBE">
        <w:rPr>
          <w:rFonts w:ascii="楷体_GB2312" w:eastAsia="楷体_GB2312" w:hint="eastAsia"/>
          <w:sz w:val="24"/>
        </w:rPr>
        <w:t>学历</w:t>
      </w:r>
      <w:r>
        <w:rPr>
          <w:rFonts w:ascii="楷体_GB2312" w:eastAsia="楷体_GB2312" w:hint="eastAsia"/>
          <w:sz w:val="24"/>
        </w:rPr>
        <w:t>；</w:t>
      </w:r>
      <w:r w:rsidR="00077BBE">
        <w:rPr>
          <w:rFonts w:ascii="楷体_GB2312" w:eastAsia="楷体_GB2312" w:hint="eastAsia"/>
          <w:sz w:val="24"/>
        </w:rPr>
        <w:t>8</w:t>
      </w:r>
      <w:r>
        <w:rPr>
          <w:rFonts w:ascii="楷体_GB2312" w:eastAsia="楷体_GB2312" w:hint="eastAsia"/>
          <w:sz w:val="24"/>
        </w:rPr>
        <w:t>人晋升副教授，；</w:t>
      </w:r>
      <w:r w:rsidR="00077BBE">
        <w:rPr>
          <w:rFonts w:ascii="楷体_GB2312" w:eastAsia="楷体_GB2312" w:hint="eastAsia"/>
          <w:sz w:val="24"/>
        </w:rPr>
        <w:t>15</w:t>
      </w:r>
      <w:r>
        <w:rPr>
          <w:rFonts w:ascii="楷体_GB2312" w:eastAsia="楷体_GB2312" w:hint="eastAsia"/>
          <w:sz w:val="24"/>
        </w:rPr>
        <w:t>人晋升讲师。</w:t>
      </w:r>
    </w:p>
    <w:p w:rsidR="003B7D4E" w:rsidRDefault="006A44E4" w:rsidP="003F3BAB">
      <w:pPr>
        <w:spacing w:line="400" w:lineRule="exact"/>
        <w:ind w:firstLineChars="200" w:firstLine="480"/>
        <w:rPr>
          <w:rFonts w:ascii="楷体_GB2312" w:eastAsia="楷体_GB2312" w:hint="eastAsia"/>
          <w:sz w:val="24"/>
        </w:rPr>
      </w:pPr>
      <w:r>
        <w:rPr>
          <w:rFonts w:ascii="楷体_GB2312" w:eastAsia="楷体_GB2312" w:hint="eastAsia"/>
          <w:sz w:val="24"/>
        </w:rPr>
        <w:t>2016-2017</w:t>
      </w:r>
      <w:r w:rsidR="003B7D4E">
        <w:rPr>
          <w:rFonts w:ascii="楷体_GB2312" w:eastAsia="楷体_GB2312" w:hint="eastAsia"/>
          <w:sz w:val="24"/>
        </w:rPr>
        <w:t>学年期间，</w:t>
      </w:r>
      <w:r w:rsidR="00321F2E">
        <w:rPr>
          <w:rFonts w:ascii="楷体_GB2312" w:eastAsia="楷体_GB2312" w:hint="eastAsia"/>
          <w:sz w:val="24"/>
        </w:rPr>
        <w:t>3</w:t>
      </w:r>
      <w:r w:rsidR="005F4FF1">
        <w:rPr>
          <w:rFonts w:ascii="楷体_GB2312" w:eastAsia="楷体_GB2312" w:hint="eastAsia"/>
          <w:sz w:val="24"/>
        </w:rPr>
        <w:t xml:space="preserve">名教师评为江苏省高校“青蓝工程”优秀青年骨干教师，1人获得全国民办高校优秀辅导员称号，12名教师在全国高校电工电子基础实验教学案例设计竞赛中获奖。5名教师在省级授课竞赛中获奖，其中还有一项特等奖，10 </w:t>
      </w:r>
      <w:r w:rsidR="003B7D4E">
        <w:rPr>
          <w:rFonts w:ascii="楷体_GB2312" w:eastAsia="楷体_GB2312" w:hint="eastAsia"/>
          <w:sz w:val="24"/>
        </w:rPr>
        <w:t>教师获江苏省高校优秀毕业设计（论文）指导奖。在学校组织的各类教学竞赛中，共有32名教师获奖。教师积极参与各级别的赛事，提高教师们的教学艺术，促进了教学质量的提升。</w:t>
      </w:r>
    </w:p>
    <w:p w:rsidR="006A44E4" w:rsidRDefault="003B7D4E" w:rsidP="00321F2E">
      <w:pPr>
        <w:rPr>
          <w:rFonts w:ascii="楷体_GB2312" w:eastAsia="楷体_GB2312"/>
          <w:sz w:val="24"/>
        </w:rPr>
      </w:pPr>
      <w:r>
        <w:rPr>
          <w:rFonts w:ascii="楷体_GB2312" w:eastAsia="楷体_GB2312" w:hint="eastAsia"/>
          <w:sz w:val="24"/>
        </w:rPr>
        <w:t>这一学年教师的科研成果也</w:t>
      </w:r>
      <w:r w:rsidR="00F05639">
        <w:rPr>
          <w:rFonts w:ascii="楷体_GB2312" w:eastAsia="楷体_GB2312" w:hint="eastAsia"/>
          <w:sz w:val="24"/>
        </w:rPr>
        <w:t>有</w:t>
      </w:r>
      <w:r>
        <w:rPr>
          <w:rFonts w:ascii="楷体_GB2312" w:eastAsia="楷体_GB2312" w:hint="eastAsia"/>
          <w:sz w:val="24"/>
        </w:rPr>
        <w:t>长足进步</w:t>
      </w:r>
      <w:r w:rsidR="00F05639">
        <w:rPr>
          <w:rFonts w:ascii="楷体_GB2312" w:eastAsia="楷体_GB2312" w:hint="eastAsia"/>
          <w:sz w:val="24"/>
        </w:rPr>
        <w:t>。有4本教材出版，</w:t>
      </w:r>
      <w:r w:rsidR="00F05639" w:rsidRPr="00F05639">
        <w:rPr>
          <w:rFonts w:ascii="楷体_GB2312" w:eastAsia="楷体_GB2312" w:hint="eastAsia"/>
          <w:sz w:val="24"/>
        </w:rPr>
        <w:t>其中《</w:t>
      </w:r>
      <w:r w:rsidR="005F4FF1" w:rsidRPr="00F05639">
        <w:rPr>
          <w:rFonts w:ascii="楷体_GB2312" w:eastAsia="楷体_GB2312" w:hint="eastAsia"/>
          <w:sz w:val="24"/>
        </w:rPr>
        <w:t xml:space="preserve"> </w:t>
      </w:r>
      <w:r w:rsidR="00F05639" w:rsidRPr="00F05639">
        <w:rPr>
          <w:rFonts w:ascii="楷体_GB2312" w:eastAsia="楷体_GB2312"/>
          <w:sz w:val="24"/>
        </w:rPr>
        <w:t>VHDL数字系统设计与应用</w:t>
      </w:r>
      <w:r w:rsidR="00F05639" w:rsidRPr="00F05639">
        <w:rPr>
          <w:rFonts w:ascii="楷体_GB2312" w:eastAsia="楷体_GB2312" w:hint="eastAsia"/>
          <w:sz w:val="24"/>
        </w:rPr>
        <w:t>》为省级规划教材</w:t>
      </w:r>
      <w:r w:rsidR="00F05639">
        <w:rPr>
          <w:rFonts w:ascii="楷体_GB2312" w:eastAsia="楷体_GB2312" w:hint="eastAsia"/>
          <w:sz w:val="24"/>
        </w:rPr>
        <w:t>；有61项省级以上项目和41项横向项目获得立项</w:t>
      </w:r>
      <w:r w:rsidR="00E62843">
        <w:rPr>
          <w:rFonts w:ascii="楷体_GB2312" w:eastAsia="楷体_GB2312" w:hint="eastAsia"/>
          <w:sz w:val="24"/>
        </w:rPr>
        <w:t>共获得1千多万的科研配套资助</w:t>
      </w:r>
      <w:r w:rsidR="00EB0B05">
        <w:rPr>
          <w:rFonts w:ascii="楷体_GB2312" w:eastAsia="楷体_GB2312" w:hint="eastAsia"/>
          <w:sz w:val="24"/>
        </w:rPr>
        <w:t>；</w:t>
      </w:r>
      <w:r w:rsidR="00F05639">
        <w:rPr>
          <w:rFonts w:ascii="楷体_GB2312" w:eastAsia="楷体_GB2312" w:hint="eastAsia"/>
          <w:sz w:val="24"/>
        </w:rPr>
        <w:t>有91篇高水平的论文在相关刊物发表，</w:t>
      </w:r>
      <w:r w:rsidR="00EB0B05">
        <w:rPr>
          <w:rFonts w:ascii="楷体_GB2312" w:eastAsia="楷体_GB2312" w:hint="eastAsia"/>
          <w:sz w:val="24"/>
        </w:rPr>
        <w:t>其中EI 23篇，SCI 65篇；各类型专利获批114项</w:t>
      </w:r>
      <w:r w:rsidR="00E62843">
        <w:rPr>
          <w:rFonts w:ascii="楷体_GB2312" w:eastAsia="楷体_GB2312" w:hint="eastAsia"/>
          <w:sz w:val="24"/>
        </w:rPr>
        <w:t>。</w:t>
      </w:r>
      <w:r w:rsidR="005F4FF1" w:rsidRPr="00F05639">
        <w:rPr>
          <w:rFonts w:ascii="楷体" w:eastAsia="楷体" w:hAnsi="楷体" w:hint="eastAsia"/>
          <w:sz w:val="24"/>
        </w:rPr>
        <w:t xml:space="preserve">                                                                        </w:t>
      </w:r>
      <w:r w:rsidR="005F4FF1">
        <w:rPr>
          <w:rFonts w:ascii="楷体_GB2312" w:eastAsia="楷体_GB2312" w:hint="eastAsia"/>
          <w:sz w:val="24"/>
        </w:rPr>
        <w:t xml:space="preserve">                                                      </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 xml:space="preserve">2.教学条件 </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学院占地面积816252平方米，校舍建筑面积</w:t>
      </w:r>
      <w:r w:rsidR="00CB7C07" w:rsidRPr="00CB7C07">
        <w:rPr>
          <w:rFonts w:ascii="楷体" w:eastAsia="楷体" w:hAnsi="楷体" w:hint="eastAsia"/>
          <w:color w:val="333333"/>
          <w:sz w:val="24"/>
          <w:shd w:val="clear" w:color="auto" w:fill="FFFFFF"/>
        </w:rPr>
        <w:t>267573</w:t>
      </w:r>
      <w:r>
        <w:rPr>
          <w:rFonts w:ascii="楷体_GB2312" w:eastAsia="楷体_GB2312" w:hint="eastAsia"/>
          <w:sz w:val="24"/>
        </w:rPr>
        <w:t>平方米，教学</w:t>
      </w:r>
      <w:r w:rsidR="00CB7C07">
        <w:rPr>
          <w:rFonts w:ascii="楷体_GB2312" w:eastAsia="楷体_GB2312" w:hint="eastAsia"/>
          <w:sz w:val="24"/>
        </w:rPr>
        <w:t>科研及辅助用房</w:t>
      </w:r>
      <w:r>
        <w:rPr>
          <w:rFonts w:ascii="楷体_GB2312" w:eastAsia="楷体_GB2312" w:hint="eastAsia"/>
          <w:sz w:val="24"/>
        </w:rPr>
        <w:t>面积</w:t>
      </w:r>
      <w:r w:rsidR="00CB7C07">
        <w:rPr>
          <w:rFonts w:ascii="楷体_GB2312" w:eastAsia="楷体_GB2312" w:hint="eastAsia"/>
          <w:sz w:val="24"/>
        </w:rPr>
        <w:t>122751</w:t>
      </w:r>
      <w:r>
        <w:rPr>
          <w:rFonts w:ascii="楷体_GB2312" w:eastAsia="楷体_GB2312" w:hint="eastAsia"/>
          <w:sz w:val="24"/>
        </w:rPr>
        <w:t xml:space="preserve"> 平方米，</w:t>
      </w:r>
      <w:r w:rsidR="00CB7C07">
        <w:rPr>
          <w:rFonts w:ascii="楷体_GB2312" w:eastAsia="楷体_GB2312" w:hint="eastAsia"/>
          <w:sz w:val="24"/>
        </w:rPr>
        <w:t>其中教室面积为48644平方米，</w:t>
      </w:r>
      <w:r w:rsidR="00995FB6">
        <w:rPr>
          <w:rFonts w:ascii="楷体_GB2312" w:eastAsia="楷体_GB2312" w:hint="eastAsia"/>
          <w:sz w:val="24"/>
        </w:rPr>
        <w:t>教室座位数15822个；</w:t>
      </w:r>
      <w:r w:rsidR="00CB7C07">
        <w:rPr>
          <w:rFonts w:ascii="楷体_GB2312" w:eastAsia="楷体_GB2312" w:hint="eastAsia"/>
          <w:sz w:val="24"/>
        </w:rPr>
        <w:t>图书馆馆舍面积17853平方米</w:t>
      </w:r>
      <w:r w:rsidR="00995FB6">
        <w:rPr>
          <w:rFonts w:ascii="楷体_GB2312" w:eastAsia="楷体_GB2312" w:hint="eastAsia"/>
          <w:sz w:val="24"/>
        </w:rPr>
        <w:t>，阅览室座位数2652 席；实验室及实习场所面积为51713平方米，生均本科实验面积4.19平方米</w:t>
      </w:r>
      <w:r w:rsidR="00CB7C07">
        <w:rPr>
          <w:rFonts w:ascii="楷体_GB2312" w:eastAsia="楷体_GB2312" w:hint="eastAsia"/>
          <w:sz w:val="24"/>
        </w:rPr>
        <w:t>。学校有3300个</w:t>
      </w:r>
      <w:r>
        <w:rPr>
          <w:rFonts w:ascii="楷体_GB2312" w:eastAsia="楷体_GB2312" w:hint="eastAsia"/>
          <w:sz w:val="24"/>
        </w:rPr>
        <w:t>学生宿舍</w:t>
      </w:r>
      <w:r w:rsidR="00CB7C07">
        <w:rPr>
          <w:rFonts w:ascii="楷体_GB2312" w:eastAsia="楷体_GB2312" w:hint="eastAsia"/>
          <w:sz w:val="24"/>
        </w:rPr>
        <w:t>，</w:t>
      </w:r>
      <w:r>
        <w:rPr>
          <w:rFonts w:ascii="楷体_GB2312" w:eastAsia="楷体_GB2312" w:hint="eastAsia"/>
          <w:sz w:val="24"/>
        </w:rPr>
        <w:t>面积</w:t>
      </w:r>
      <w:r w:rsidR="00CB7C07">
        <w:rPr>
          <w:rFonts w:ascii="楷体_GB2312" w:eastAsia="楷体_GB2312" w:hint="eastAsia"/>
          <w:sz w:val="24"/>
        </w:rPr>
        <w:t>为</w:t>
      </w:r>
      <w:r>
        <w:rPr>
          <w:rFonts w:ascii="楷体_GB2312" w:eastAsia="楷体_GB2312" w:hint="eastAsia"/>
          <w:sz w:val="24"/>
        </w:rPr>
        <w:t>106524平方米</w:t>
      </w:r>
      <w:r w:rsidR="00CB7C07">
        <w:rPr>
          <w:rFonts w:ascii="楷体_GB2312" w:eastAsia="楷体_GB2312" w:hint="eastAsia"/>
          <w:sz w:val="24"/>
        </w:rPr>
        <w:t>；有4个食堂，面积为</w:t>
      </w:r>
      <w:r w:rsidR="00995FB6" w:rsidRPr="00995FB6">
        <w:rPr>
          <w:rFonts w:ascii="楷体" w:eastAsia="楷体" w:hAnsi="楷体" w:hint="eastAsia"/>
          <w:color w:val="333333"/>
          <w:sz w:val="24"/>
          <w:shd w:val="clear" w:color="auto" w:fill="FFFFFF"/>
        </w:rPr>
        <w:t>10818</w:t>
      </w:r>
      <w:r w:rsidR="00995FB6">
        <w:rPr>
          <w:rFonts w:ascii="楷体_GB2312" w:eastAsia="楷体_GB2312" w:hint="eastAsia"/>
          <w:sz w:val="24"/>
        </w:rPr>
        <w:t>平方米；有35块运动场所，面积为58213平方米，体育馆1座，面积为</w:t>
      </w:r>
      <w:r w:rsidR="00995FB6" w:rsidRPr="00995FB6">
        <w:rPr>
          <w:rFonts w:ascii="楷体_GB2312" w:eastAsia="楷体_GB2312"/>
          <w:sz w:val="24"/>
        </w:rPr>
        <w:t>2983</w:t>
      </w:r>
      <w:r w:rsidR="00995FB6">
        <w:rPr>
          <w:rFonts w:ascii="楷体_GB2312" w:eastAsia="楷体_GB2312" w:hint="eastAsia"/>
          <w:sz w:val="24"/>
        </w:rPr>
        <w:t>平方米。</w:t>
      </w:r>
      <w:r>
        <w:rPr>
          <w:rFonts w:ascii="楷体_GB2312" w:eastAsia="楷体_GB2312" w:hint="eastAsia"/>
          <w:sz w:val="24"/>
        </w:rPr>
        <w:t>截止至201</w:t>
      </w:r>
      <w:r w:rsidR="00995FB6">
        <w:rPr>
          <w:rFonts w:ascii="楷体_GB2312" w:eastAsia="楷体_GB2312" w:hint="eastAsia"/>
          <w:sz w:val="24"/>
        </w:rPr>
        <w:t>6</w:t>
      </w:r>
      <w:r>
        <w:rPr>
          <w:rFonts w:ascii="楷体_GB2312" w:eastAsia="楷体_GB2312" w:hint="eastAsia"/>
          <w:sz w:val="24"/>
        </w:rPr>
        <w:t>年12月31日，学院教学</w:t>
      </w:r>
      <w:r w:rsidR="00995FB6">
        <w:rPr>
          <w:rFonts w:ascii="楷体_GB2312" w:eastAsia="楷体_GB2312" w:hint="eastAsia"/>
          <w:sz w:val="24"/>
        </w:rPr>
        <w:t>科研</w:t>
      </w:r>
      <w:r>
        <w:rPr>
          <w:rFonts w:ascii="楷体_GB2312" w:eastAsia="楷体_GB2312" w:hint="eastAsia"/>
          <w:sz w:val="24"/>
        </w:rPr>
        <w:t>仪器设备总值</w:t>
      </w:r>
      <w:r w:rsidR="00995FB6" w:rsidRPr="00995FB6">
        <w:rPr>
          <w:rFonts w:ascii="楷体_GB2312" w:eastAsia="楷体_GB2312"/>
          <w:sz w:val="24"/>
        </w:rPr>
        <w:t>7,134.55</w:t>
      </w:r>
      <w:r>
        <w:rPr>
          <w:rFonts w:ascii="楷体_GB2312" w:eastAsia="楷体_GB2312" w:hint="eastAsia"/>
          <w:sz w:val="24"/>
        </w:rPr>
        <w:t>万元</w:t>
      </w:r>
      <w:r w:rsidR="00995FB6">
        <w:rPr>
          <w:rFonts w:ascii="楷体_GB2312" w:eastAsia="楷体_GB2312" w:hint="eastAsia"/>
          <w:sz w:val="24"/>
        </w:rPr>
        <w:t>，校内实践教学设备值为4952.95万元</w:t>
      </w:r>
      <w:r w:rsidR="000D1300">
        <w:rPr>
          <w:rFonts w:ascii="楷体_GB2312" w:eastAsia="楷体_GB2312" w:hint="eastAsia"/>
          <w:sz w:val="24"/>
        </w:rPr>
        <w:t>，设备台套数为6636台（套）</w:t>
      </w:r>
      <w:r>
        <w:rPr>
          <w:rFonts w:ascii="楷体_GB2312" w:eastAsia="楷体_GB2312" w:hint="eastAsia"/>
          <w:sz w:val="24"/>
        </w:rPr>
        <w:t>；图书馆</w:t>
      </w:r>
      <w:r w:rsidR="000D1300">
        <w:rPr>
          <w:rFonts w:ascii="楷体_GB2312" w:eastAsia="楷体_GB2312" w:hint="eastAsia"/>
          <w:sz w:val="24"/>
        </w:rPr>
        <w:t>馆</w:t>
      </w:r>
      <w:r>
        <w:rPr>
          <w:rFonts w:ascii="楷体_GB2312" w:eastAsia="楷体_GB2312" w:hint="eastAsia"/>
          <w:sz w:val="24"/>
        </w:rPr>
        <w:t>藏图书1</w:t>
      </w:r>
      <w:r w:rsidR="000D1300">
        <w:rPr>
          <w:rFonts w:ascii="楷体_GB2312" w:eastAsia="楷体_GB2312" w:hint="eastAsia"/>
          <w:sz w:val="24"/>
        </w:rPr>
        <w:t>13.0108</w:t>
      </w:r>
      <w:r>
        <w:rPr>
          <w:rFonts w:ascii="楷体_GB2312" w:eastAsia="楷体_GB2312" w:hint="eastAsia"/>
          <w:sz w:val="24"/>
        </w:rPr>
        <w:t>万册，期刊1216种，外文原版图书11238册</w:t>
      </w:r>
      <w:r w:rsidR="003B2A1C">
        <w:rPr>
          <w:rFonts w:ascii="楷体_GB2312" w:eastAsia="楷体_GB2312" w:hint="eastAsia"/>
          <w:sz w:val="24"/>
        </w:rPr>
        <w:t>，新增图书443488册</w:t>
      </w:r>
      <w:r>
        <w:rPr>
          <w:rFonts w:ascii="楷体_GB2312" w:eastAsia="楷体_GB2312" w:hint="eastAsia"/>
          <w:sz w:val="24"/>
        </w:rPr>
        <w:t>。</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学院建有功能齐备、运行良好的校园网，通过千兆过江光缆与东南大学四牌</w:t>
      </w:r>
      <w:r>
        <w:rPr>
          <w:rFonts w:ascii="楷体_GB2312" w:eastAsia="楷体_GB2312" w:hint="eastAsia"/>
          <w:sz w:val="24"/>
        </w:rPr>
        <w:lastRenderedPageBreak/>
        <w:t>楼校区互联；教学楼、图书馆、实验大楼、学生活动中心等实现了校园网无线覆盖；学生宿舍全部接入有线及无线宽带。学院建成功能齐全的网络管理中心、校园网应用服务系统和本科教学网站，实现了网上选课、网上排课、网上登录成绩、网上查询成绩、网上学籍审核、网上评教、网上办公、网上咨询服务等功能，在本科教学中发挥重要作用。</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学校始终突出教学的中心地位，在预算安排上充分体现了教学经费优先的原则，并加强预算分析和控制，加强教学专项经费的绩效考核，推进经费的精细化、科学化管理，经费具体情况：              。</w:t>
      </w:r>
    </w:p>
    <w:p w:rsidR="00CE4C30" w:rsidRDefault="00CE4C30" w:rsidP="003A55CD">
      <w:pPr>
        <w:spacing w:line="400" w:lineRule="exact"/>
        <w:ind w:firstLineChars="200" w:firstLine="480"/>
        <w:rPr>
          <w:rFonts w:ascii="楷体_GB2312" w:eastAsia="楷体_GB2312"/>
          <w:b/>
          <w:sz w:val="24"/>
        </w:rPr>
      </w:pPr>
      <w:bookmarkStart w:id="3" w:name="_Toc303676628"/>
      <w:r>
        <w:rPr>
          <w:rFonts w:ascii="楷体_GB2312" w:eastAsia="楷体_GB2312" w:hint="eastAsia"/>
          <w:b/>
          <w:sz w:val="24"/>
        </w:rPr>
        <w:t>三、本科教学建设</w:t>
      </w:r>
      <w:bookmarkEnd w:id="3"/>
    </w:p>
    <w:p w:rsidR="00CE4C30" w:rsidRDefault="00CE4C30">
      <w:pPr>
        <w:spacing w:line="400" w:lineRule="exact"/>
        <w:ind w:firstLineChars="200" w:firstLine="480"/>
        <w:rPr>
          <w:rFonts w:ascii="楷体_GB2312" w:eastAsia="楷体_GB2312"/>
          <w:sz w:val="24"/>
        </w:rPr>
      </w:pPr>
      <w:bookmarkStart w:id="4" w:name="_Toc296253117"/>
      <w:bookmarkStart w:id="5" w:name="_Toc303676635"/>
      <w:bookmarkStart w:id="6" w:name="_Toc303676629"/>
      <w:r>
        <w:rPr>
          <w:rFonts w:ascii="楷体_GB2312" w:eastAsia="楷体_GB2312" w:hint="eastAsia"/>
          <w:sz w:val="24"/>
        </w:rPr>
        <w:t>1.专业综合改革</w:t>
      </w:r>
      <w:r w:rsidR="00F32758">
        <w:rPr>
          <w:rFonts w:ascii="楷体_GB2312" w:eastAsia="楷体_GB2312" w:hint="eastAsia"/>
          <w:sz w:val="24"/>
        </w:rPr>
        <w:t>稳步推进</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2011年12月，教育部颁发了</w:t>
      </w:r>
      <w:proofErr w:type="gramStart"/>
      <w:r>
        <w:rPr>
          <w:rFonts w:ascii="楷体_GB2312" w:eastAsia="楷体_GB2312" w:hint="eastAsia"/>
          <w:sz w:val="24"/>
        </w:rPr>
        <w:t>“</w:t>
      </w:r>
      <w:proofErr w:type="gramEnd"/>
      <w:r>
        <w:rPr>
          <w:rFonts w:ascii="楷体_GB2312" w:eastAsia="楷体_GB2312" w:hint="eastAsia"/>
          <w:sz w:val="24"/>
        </w:rPr>
        <w:t>关于启动实施“本科教学工程”、“专业综合改革试点”项目工作的通知</w:t>
      </w:r>
      <w:proofErr w:type="gramStart"/>
      <w:r>
        <w:rPr>
          <w:rFonts w:ascii="楷体_GB2312" w:eastAsia="楷体_GB2312" w:hint="eastAsia"/>
          <w:sz w:val="24"/>
        </w:rPr>
        <w:t>”</w:t>
      </w:r>
      <w:proofErr w:type="gramEnd"/>
      <w:r>
        <w:rPr>
          <w:rFonts w:ascii="楷体_GB2312" w:eastAsia="楷体_GB2312" w:hint="eastAsia"/>
          <w:sz w:val="24"/>
        </w:rPr>
        <w:t xml:space="preserve"> （</w:t>
      </w:r>
      <w:proofErr w:type="gramStart"/>
      <w:r>
        <w:rPr>
          <w:rFonts w:ascii="楷体_GB2312" w:eastAsia="楷体_GB2312" w:hint="eastAsia"/>
          <w:sz w:val="24"/>
        </w:rPr>
        <w:t>教高司函</w:t>
      </w:r>
      <w:proofErr w:type="gramEnd"/>
      <w:r>
        <w:rPr>
          <w:rFonts w:ascii="楷体_GB2312" w:eastAsia="楷体_GB2312" w:hint="eastAsia"/>
          <w:sz w:val="24"/>
        </w:rPr>
        <w:t>[2011]226号），2014年10月，江苏省政府颁发了《关于深化教育领域综合改革的实施意见》（苏政发〔2014〕56号），江苏省教育厅、省财政厅制定下发了《江苏高校品牌专业建设工程一期项目实施办法》（</w:t>
      </w:r>
      <w:proofErr w:type="gramStart"/>
      <w:r>
        <w:rPr>
          <w:rFonts w:ascii="楷体_GB2312" w:eastAsia="楷体_GB2312" w:hint="eastAsia"/>
          <w:sz w:val="24"/>
        </w:rPr>
        <w:t>苏教高</w:t>
      </w:r>
      <w:proofErr w:type="gramEnd"/>
      <w:r>
        <w:rPr>
          <w:rFonts w:ascii="楷体_GB2312" w:eastAsia="楷体_GB2312" w:hint="eastAsia"/>
          <w:sz w:val="24"/>
        </w:rPr>
        <w:t>〔2015〕）2号），虽然其中有些建设项目没有涵盖独立学院，但专业建设同样是独立学院人才培养的重要载体，建设水平和绩效决定着学校的人才培养质量和特色。结合我校的办学实际，在学习、了解、梳理的基础上，于2014年提出从开展专业综合改革着手推进专业建设，并增加经费投入，旨在充分发挥二级学院专业建设的积极性、主动性和创造性，增强专业办学活力，明确专业培养目标和建设重点，通过自主设计建设方案，推进培养模式、教学团队、课程教材、教学方式、教学管理等专业发展重要环节的综合改革，通过试点在人才培养定位、培养模式、资源配置模式和管理模式上有新突破，促进人才培养水平的整体提升，形成一批教育观念先进、改革成效显著、特色更加鲜明的专业点，引领示范本校其他专业或同类型高校相关专业的改革建设。</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201</w:t>
      </w:r>
      <w:r w:rsidR="00C40637">
        <w:rPr>
          <w:rFonts w:ascii="楷体_GB2312" w:eastAsia="楷体_GB2312" w:hint="eastAsia"/>
          <w:sz w:val="24"/>
        </w:rPr>
        <w:t>6年批准了建筑与艺术设计学院的专业综合改革方案，并签订了专业综合改革目标责任书。同时，也对电子与计算机工程学院和土木与交通工程学院的综合改革方案进行了研讨，提出了修改建议。</w:t>
      </w:r>
    </w:p>
    <w:bookmarkEnd w:id="4"/>
    <w:bookmarkEnd w:id="5"/>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2.人才培养方案修订</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201</w:t>
      </w:r>
      <w:r w:rsidR="00F32758">
        <w:rPr>
          <w:rFonts w:ascii="楷体_GB2312" w:eastAsia="楷体_GB2312" w:hint="eastAsia"/>
          <w:sz w:val="24"/>
        </w:rPr>
        <w:t>7</w:t>
      </w:r>
      <w:r>
        <w:rPr>
          <w:rFonts w:ascii="楷体_GB2312" w:eastAsia="楷体_GB2312" w:hint="eastAsia"/>
          <w:sz w:val="24"/>
        </w:rPr>
        <w:t>年</w:t>
      </w:r>
      <w:r w:rsidR="00F32758">
        <w:rPr>
          <w:rFonts w:ascii="楷体_GB2312" w:eastAsia="楷体_GB2312" w:hint="eastAsia"/>
          <w:sz w:val="24"/>
        </w:rPr>
        <w:t>，学校根据人才培养方案的执行情况启动了</w:t>
      </w:r>
      <w:r>
        <w:rPr>
          <w:rFonts w:ascii="楷体_GB2312" w:eastAsia="楷体_GB2312" w:hint="eastAsia"/>
          <w:sz w:val="24"/>
        </w:rPr>
        <w:t>东南大学成贤学院</w:t>
      </w:r>
      <w:r w:rsidR="00F32758">
        <w:rPr>
          <w:rFonts w:ascii="楷体_GB2312" w:eastAsia="楷体_GB2312" w:hint="eastAsia"/>
          <w:sz w:val="24"/>
        </w:rPr>
        <w:t>2015级</w:t>
      </w:r>
      <w:r>
        <w:rPr>
          <w:rFonts w:ascii="楷体_GB2312" w:eastAsia="楷体_GB2312" w:hint="eastAsia"/>
          <w:sz w:val="24"/>
        </w:rPr>
        <w:t>人才培养方案修</w:t>
      </w:r>
      <w:r w:rsidR="00F32758">
        <w:rPr>
          <w:rFonts w:ascii="楷体_GB2312" w:eastAsia="楷体_GB2312" w:hint="eastAsia"/>
          <w:sz w:val="24"/>
        </w:rPr>
        <w:t>改</w:t>
      </w:r>
      <w:r>
        <w:rPr>
          <w:rFonts w:ascii="楷体_GB2312" w:eastAsia="楷体_GB2312" w:hint="eastAsia"/>
          <w:sz w:val="24"/>
        </w:rPr>
        <w:t>工作</w:t>
      </w:r>
      <w:r w:rsidR="00F32758">
        <w:rPr>
          <w:rFonts w:ascii="楷体_GB2312" w:eastAsia="楷体_GB2312" w:hint="eastAsia"/>
          <w:sz w:val="24"/>
        </w:rPr>
        <w:t>。</w:t>
      </w:r>
      <w:r>
        <w:rPr>
          <w:rFonts w:ascii="楷体_GB2312" w:eastAsia="楷体_GB2312" w:hint="eastAsia"/>
          <w:sz w:val="24"/>
        </w:rPr>
        <w:t>本次修订是在深入学习、贯彻落实教育部及教育厅关于高等学校人才培养的各类文件精神，特别是近期有关“以培养产业转型升级和公共服务发展需要的高层次技术技能人才为主要目标，以推进产教融合、校企合作为主要路径，通过试点推动、示范引领，引导和推动部分地方本科高校向应用技术类型高校转型发展，提高地方高等教育支撑产业升级、技术进步和社会管理</w:t>
      </w:r>
      <w:r>
        <w:rPr>
          <w:rFonts w:ascii="楷体_GB2312" w:eastAsia="楷体_GB2312" w:hint="eastAsia"/>
          <w:sz w:val="24"/>
        </w:rPr>
        <w:lastRenderedPageBreak/>
        <w:t>创新的能力”等新精神、新要求，认真学习、理解和领会国家工程教育专业认证和卓越工程师培养的内容、要求和标准的基础上，充分遵照《教育部关于地方本科高校转型发展的指导意见》、《教育厅关于全面深化应用型本科院校人才培养改革的意见》等文件精神，全面树立主动适应社会发展、服务地方行业需求、注重学生就业导向的办学理念；进一步体现“应用型高校 ”的办学定位，“高素质应用型人才”的培养目标。要求 以“开放办学，多方合作，内涵发展”为思路，建立符合学院办学定位、体现应用型本科特点、具备明确职业岗位指向的人才培养体系，形成以社会需求为导向，以实践能力培养为重点，以产学结合为途径，产教融合、校企合作的人才培养模式。以“适度的理论基础，坚实的岗位能力，持续的发展后劲”为原则，调整课程设置，把课程目标定位在学生的综合职业能力和社会适应能力的培养上，重组教学内容，推进课程体系、教学内容的改革，构建面向应用、能力为重、理论和实践深度融合的课程体系和知识体系。</w:t>
      </w:r>
    </w:p>
    <w:p w:rsidR="00CE4C30" w:rsidRDefault="00CE4C30">
      <w:pPr>
        <w:spacing w:line="400" w:lineRule="exact"/>
        <w:ind w:firstLineChars="200" w:firstLine="480"/>
        <w:rPr>
          <w:rFonts w:ascii="楷体_GB2312" w:eastAsia="楷体_GB2312"/>
          <w:sz w:val="24"/>
        </w:rPr>
      </w:pPr>
      <w:r>
        <w:rPr>
          <w:rFonts w:eastAsia="楷体_GB2312" w:hint="eastAsia"/>
          <w:sz w:val="24"/>
        </w:rPr>
        <w:t>  </w:t>
      </w:r>
      <w:r>
        <w:rPr>
          <w:rFonts w:ascii="楷体_GB2312" w:eastAsia="楷体_GB2312" w:hint="eastAsia"/>
          <w:sz w:val="24"/>
        </w:rPr>
        <w:t>本次修订从形式上看变化较大的方面是：</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1）通识教育课程采用“平台+个性化”的模式，按工科大类、经管大类、艺术和设计大类分别设置通识教育课程平台，同时设置学生可以个性化选择的层次和模块，比如大学英语课程分设6个级别以及若干外语拓展课程，高等数学课程分类型、分层次、分模块，必修和选修相结合，大学物理课程采取按专业分类型的模式，非计算机专业的计算机基础课采取 “1+1+X”的课程设置方案。</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专业课程体系设置强调了结合工程教育专业认证要求和“学以致用”的原则。专业基础课共30学分左右，安排在二年级前完成，专业主干课共20学分左右，安排在三年级前完成，专业方向课设置若干组（至少2组）专业方向模块课程，包括与体现专业核心能力的职业资格证书考试相适应的课程模块、校企合作课程模块、交叉复合模块、考研课程模块等。</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3）强化第二课堂对于培养学生的特长、技能和综合素质起着举足轻重的作用，将第二课堂作为第一课堂的有效延伸和重要补充，共设置6个必修学分，包括“思政课”课外实践（社会实践、公益活动、聆听讲座、参加活动等）4学分，创新创业实践2学分。新增“思政课”实践环节，旨在改变传统“思政课”教学中空泛的讲授和一味的灌输、“思政课”教学与课外学生思想政治教育实际脱节的“两张皮”现象，使课内理论讲授和课外</w:t>
      </w:r>
      <w:proofErr w:type="gramStart"/>
      <w:r>
        <w:rPr>
          <w:rFonts w:ascii="楷体_GB2312" w:eastAsia="楷体_GB2312" w:hint="eastAsia"/>
          <w:sz w:val="24"/>
        </w:rPr>
        <w:t>思政教育</w:t>
      </w:r>
      <w:proofErr w:type="gramEnd"/>
      <w:r>
        <w:rPr>
          <w:rFonts w:ascii="楷体_GB2312" w:eastAsia="楷体_GB2312" w:hint="eastAsia"/>
          <w:sz w:val="24"/>
        </w:rPr>
        <w:t>有机结合，课内任课教师讲授和课外辅导员日常思想政治教育有机结合，以主题活动、社会实践、公益活动、聆听讲座等方式完成；创新实践旨在培养和提高学生的创新意识和实践能力，以参加学科竞赛、创新创业训练项目、技能培训等活动完成。新增每个学生在校期间至少取得一个专业职业技能证书的要求。</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（4）为了接轨国际化，增加了英文课程名称。为了明确每门课程或教学环</w:t>
      </w:r>
      <w:r>
        <w:rPr>
          <w:rFonts w:ascii="楷体_GB2312" w:eastAsia="楷体_GB2312" w:hint="eastAsia"/>
          <w:sz w:val="24"/>
        </w:rPr>
        <w:lastRenderedPageBreak/>
        <w:t>节在人才培养过程中所起的作用,每个专业都制定了课程或教学环节与毕业生知识、能力及素质对应关系矩阵图。</w:t>
      </w:r>
    </w:p>
    <w:p w:rsidR="00CE4C30" w:rsidRDefault="00CE4C30">
      <w:pPr>
        <w:spacing w:line="400" w:lineRule="exact"/>
        <w:ind w:firstLineChars="200" w:firstLine="480"/>
        <w:rPr>
          <w:rFonts w:ascii="楷体_GB2312" w:eastAsia="楷体_GB2312"/>
          <w:sz w:val="24"/>
        </w:rPr>
      </w:pPr>
      <w:bookmarkStart w:id="7" w:name="_Toc296253121"/>
      <w:bookmarkStart w:id="8" w:name="_Toc303676639"/>
      <w:r>
        <w:rPr>
          <w:rFonts w:ascii="楷体_GB2312" w:eastAsia="楷体_GB2312" w:hint="eastAsia"/>
          <w:sz w:val="24"/>
        </w:rPr>
        <w:t>3</w:t>
      </w:r>
      <w:bookmarkStart w:id="9" w:name="_Toc296253130"/>
      <w:bookmarkStart w:id="10" w:name="_Toc303676647"/>
      <w:r>
        <w:rPr>
          <w:rFonts w:ascii="楷体_GB2312" w:eastAsia="楷体_GB2312" w:hint="eastAsia"/>
          <w:sz w:val="24"/>
        </w:rPr>
        <w:t>.教学研究与改革</w:t>
      </w:r>
    </w:p>
    <w:p w:rsidR="00A20CF4" w:rsidRDefault="00CE4C30">
      <w:pPr>
        <w:spacing w:line="400" w:lineRule="exact"/>
        <w:ind w:firstLineChars="200" w:firstLine="480"/>
        <w:rPr>
          <w:rFonts w:ascii="楷体_GB2312" w:eastAsia="楷体_GB2312"/>
          <w:sz w:val="24"/>
        </w:rPr>
      </w:pPr>
      <w:r>
        <w:rPr>
          <w:rFonts w:ascii="楷体_GB2312" w:eastAsia="楷体_GB2312" w:hint="eastAsia"/>
          <w:sz w:val="24"/>
        </w:rPr>
        <w:t>学校制订相关措施，设立教学研究与改革专项基金，引导、鼓励教师积极开展教学研究与改革。201</w:t>
      </w:r>
      <w:r w:rsidR="001C11D4">
        <w:rPr>
          <w:rFonts w:ascii="楷体_GB2312" w:eastAsia="楷体_GB2312" w:hint="eastAsia"/>
          <w:sz w:val="24"/>
        </w:rPr>
        <w:t>7</w:t>
      </w:r>
      <w:r>
        <w:rPr>
          <w:rFonts w:ascii="楷体_GB2312" w:eastAsia="楷体_GB2312" w:hint="eastAsia"/>
          <w:sz w:val="24"/>
        </w:rPr>
        <w:t>年，学校组织对201</w:t>
      </w:r>
      <w:r w:rsidR="001C11D4">
        <w:rPr>
          <w:rFonts w:ascii="楷体_GB2312" w:eastAsia="楷体_GB2312" w:hint="eastAsia"/>
          <w:sz w:val="24"/>
        </w:rPr>
        <w:t>5、2016</w:t>
      </w:r>
      <w:r>
        <w:rPr>
          <w:rFonts w:ascii="楷体_GB2312" w:eastAsia="楷体_GB2312" w:hint="eastAsia"/>
          <w:sz w:val="24"/>
        </w:rPr>
        <w:t>年专题立项的教学改革项目通过现场汇报与答辩的方式进行中期检查和结题验收，对</w:t>
      </w:r>
      <w:r w:rsidR="001C11D4">
        <w:rPr>
          <w:rFonts w:ascii="楷体_GB2312" w:eastAsia="楷体_GB2312" w:hint="eastAsia"/>
          <w:sz w:val="24"/>
        </w:rPr>
        <w:t>22</w:t>
      </w:r>
      <w:r>
        <w:rPr>
          <w:rFonts w:ascii="楷体_GB2312" w:eastAsia="楷体_GB2312" w:hint="eastAsia"/>
          <w:sz w:val="24"/>
        </w:rPr>
        <w:t>个项目执行情况与中期成果进行检查，并给出反馈意见和建议，</w:t>
      </w:r>
      <w:r w:rsidR="001C11D4">
        <w:rPr>
          <w:rFonts w:ascii="楷体_GB2312" w:eastAsia="楷体_GB2312" w:hint="eastAsia"/>
          <w:sz w:val="24"/>
        </w:rPr>
        <w:t>26</w:t>
      </w:r>
      <w:r>
        <w:rPr>
          <w:rFonts w:ascii="楷体_GB2312" w:eastAsia="楷体_GB2312" w:hint="eastAsia"/>
          <w:sz w:val="24"/>
        </w:rPr>
        <w:t>项目进行结题验收</w:t>
      </w:r>
      <w:r w:rsidR="001C11D4">
        <w:rPr>
          <w:rFonts w:ascii="楷体_GB2312" w:eastAsia="楷体_GB2312" w:hint="eastAsia"/>
          <w:sz w:val="24"/>
        </w:rPr>
        <w:t>并都</w:t>
      </w:r>
      <w:r>
        <w:rPr>
          <w:rFonts w:ascii="楷体_GB2312" w:eastAsia="楷体_GB2312" w:hint="eastAsia"/>
          <w:sz w:val="24"/>
        </w:rPr>
        <w:t>通过结题</w:t>
      </w:r>
      <w:r w:rsidR="001C11D4">
        <w:rPr>
          <w:rFonts w:ascii="楷体_GB2312" w:eastAsia="楷体_GB2312" w:hint="eastAsia"/>
          <w:sz w:val="24"/>
        </w:rPr>
        <w:t>。</w:t>
      </w:r>
      <w:r>
        <w:rPr>
          <w:rFonts w:ascii="楷体_GB2312" w:eastAsia="楷体_GB2312" w:hint="eastAsia"/>
          <w:sz w:val="24"/>
        </w:rPr>
        <w:t>201</w:t>
      </w:r>
      <w:r w:rsidR="00A20CF4">
        <w:rPr>
          <w:rFonts w:ascii="楷体_GB2312" w:eastAsia="楷体_GB2312" w:hint="eastAsia"/>
          <w:sz w:val="24"/>
        </w:rPr>
        <w:t>6-2017学年</w:t>
      </w:r>
      <w:r>
        <w:rPr>
          <w:rFonts w:ascii="楷体_GB2312" w:eastAsia="楷体_GB2312" w:hint="eastAsia"/>
          <w:sz w:val="24"/>
        </w:rPr>
        <w:t>，省级教改立项课题共有</w:t>
      </w:r>
      <w:r w:rsidR="00A20CF4">
        <w:rPr>
          <w:rFonts w:ascii="楷体_GB2312" w:eastAsia="楷体_GB2312" w:hint="eastAsia"/>
          <w:sz w:val="24"/>
        </w:rPr>
        <w:t>19</w:t>
      </w:r>
      <w:r>
        <w:rPr>
          <w:rFonts w:ascii="楷体_GB2312" w:eastAsia="楷体_GB2312" w:hint="eastAsia"/>
          <w:sz w:val="24"/>
        </w:rPr>
        <w:t>项，校级教改立项课题共有</w:t>
      </w:r>
      <w:r w:rsidR="00A20CF4">
        <w:rPr>
          <w:rFonts w:ascii="楷体_GB2312" w:eastAsia="楷体_GB2312" w:hint="eastAsia"/>
          <w:sz w:val="24"/>
        </w:rPr>
        <w:t>29</w:t>
      </w:r>
      <w:r>
        <w:rPr>
          <w:rFonts w:ascii="楷体_GB2312" w:eastAsia="楷体_GB2312" w:hint="eastAsia"/>
          <w:sz w:val="24"/>
        </w:rPr>
        <w:t>项。</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4.课程建设</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201</w:t>
      </w:r>
      <w:r w:rsidR="00A20CF4">
        <w:rPr>
          <w:rFonts w:ascii="楷体_GB2312" w:eastAsia="楷体_GB2312" w:hint="eastAsia"/>
          <w:sz w:val="24"/>
        </w:rPr>
        <w:t>6-2017</w:t>
      </w:r>
      <w:r>
        <w:rPr>
          <w:rFonts w:ascii="楷体_GB2312" w:eastAsia="楷体_GB2312" w:hint="eastAsia"/>
          <w:sz w:val="24"/>
        </w:rPr>
        <w:t>学年，学校共开设课程1141门（其中295门实验课、118门集中实践环节课程）。</w:t>
      </w:r>
      <w:r w:rsidR="00A20CF4">
        <w:rPr>
          <w:rFonts w:ascii="楷体_GB2312" w:eastAsia="楷体_GB2312" w:hint="eastAsia"/>
          <w:sz w:val="24"/>
        </w:rPr>
        <w:t>根据</w:t>
      </w:r>
      <w:r>
        <w:rPr>
          <w:rFonts w:ascii="楷体_GB2312" w:eastAsia="楷体_GB2312" w:hint="eastAsia"/>
          <w:sz w:val="24"/>
        </w:rPr>
        <w:t>人才培养方案要求，</w:t>
      </w:r>
      <w:r w:rsidR="00A20CF4">
        <w:rPr>
          <w:rFonts w:ascii="楷体_GB2312" w:eastAsia="楷体_GB2312" w:hint="eastAsia"/>
          <w:sz w:val="24"/>
        </w:rPr>
        <w:t>所有课程都</w:t>
      </w:r>
      <w:r>
        <w:rPr>
          <w:rFonts w:ascii="楷体_GB2312" w:eastAsia="楷体_GB2312" w:hint="eastAsia"/>
          <w:sz w:val="24"/>
        </w:rPr>
        <w:t>全面梳理了教学内容，制定了教学大纲。</w:t>
      </w:r>
    </w:p>
    <w:p w:rsidR="00CE4C30" w:rsidRDefault="00A20CF4">
      <w:pPr>
        <w:spacing w:line="400" w:lineRule="exact"/>
        <w:ind w:firstLineChars="200" w:firstLine="480"/>
        <w:rPr>
          <w:rFonts w:ascii="楷体_GB2312" w:eastAsia="楷体_GB2312"/>
          <w:sz w:val="24"/>
        </w:rPr>
      </w:pPr>
      <w:r>
        <w:rPr>
          <w:rFonts w:ascii="楷体_GB2312" w:eastAsia="楷体_GB2312" w:hint="eastAsia"/>
          <w:sz w:val="24"/>
        </w:rPr>
        <w:t>为了提高教学水平，教师通过</w:t>
      </w:r>
      <w:r w:rsidR="00CE4C30">
        <w:rPr>
          <w:rFonts w:ascii="楷体_GB2312" w:eastAsia="楷体_GB2312" w:hint="eastAsia"/>
          <w:sz w:val="24"/>
        </w:rPr>
        <w:t>教改</w:t>
      </w:r>
      <w:r>
        <w:rPr>
          <w:rFonts w:ascii="楷体_GB2312" w:eastAsia="楷体_GB2312" w:hint="eastAsia"/>
          <w:sz w:val="24"/>
        </w:rPr>
        <w:t>立项来研究适应成贤学院定位的课程建设，</w:t>
      </w:r>
      <w:r w:rsidR="00CE4C30">
        <w:rPr>
          <w:rFonts w:ascii="楷体_GB2312" w:eastAsia="楷体_GB2312" w:hint="eastAsia"/>
          <w:sz w:val="24"/>
        </w:rPr>
        <w:t>涉及课程体系、教学内容、教学方法、考试方法、课程管理等方面。</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5.教材建设</w:t>
      </w:r>
    </w:p>
    <w:p w:rsidR="00F84128" w:rsidRDefault="00CE4C30">
      <w:pPr>
        <w:spacing w:line="400" w:lineRule="exact"/>
        <w:ind w:firstLineChars="200" w:firstLine="480"/>
        <w:rPr>
          <w:rFonts w:ascii="楷体_GB2312" w:eastAsia="楷体_GB2312"/>
          <w:sz w:val="24"/>
        </w:rPr>
      </w:pPr>
      <w:r>
        <w:rPr>
          <w:rFonts w:ascii="楷体_GB2312" w:eastAsia="楷体_GB2312" w:hint="eastAsia"/>
          <w:sz w:val="24"/>
        </w:rPr>
        <w:t>学校加强教材建设与改革，鼓励教师编写反映教学研究和改革成果、既具有学校特色又符合教学需要的优秀教材。201</w:t>
      </w:r>
      <w:r w:rsidR="00A20CF4">
        <w:rPr>
          <w:rFonts w:ascii="楷体_GB2312" w:eastAsia="楷体_GB2312" w:hint="eastAsia"/>
          <w:sz w:val="24"/>
        </w:rPr>
        <w:t>6</w:t>
      </w:r>
      <w:r w:rsidR="00F84128">
        <w:rPr>
          <w:rFonts w:ascii="楷体_GB2312" w:eastAsia="楷体_GB2312" w:hint="eastAsia"/>
          <w:sz w:val="24"/>
        </w:rPr>
        <w:t>年</w:t>
      </w:r>
      <w:r>
        <w:rPr>
          <w:rFonts w:ascii="楷体_GB2312" w:eastAsia="楷体_GB2312" w:hint="eastAsia"/>
          <w:sz w:val="24"/>
        </w:rPr>
        <w:t>，</w:t>
      </w:r>
      <w:r w:rsidR="00F84128">
        <w:rPr>
          <w:rFonts w:ascii="楷体_GB2312" w:eastAsia="楷体_GB2312" w:hint="eastAsia"/>
          <w:sz w:val="24"/>
        </w:rPr>
        <w:t>4</w:t>
      </w:r>
      <w:r>
        <w:rPr>
          <w:rFonts w:ascii="楷体_GB2312" w:eastAsia="楷体_GB2312" w:hint="eastAsia"/>
          <w:sz w:val="24"/>
        </w:rPr>
        <w:t>部教材获得学校规划教材立项。</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6.学生实践能力培养</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2015级人才培养方案中，一是强化实践教学环节，增加实践教学比重，人文社会科学</w:t>
      </w:r>
      <w:proofErr w:type="gramStart"/>
      <w:r>
        <w:rPr>
          <w:rFonts w:ascii="楷体_GB2312" w:eastAsia="楷体_GB2312" w:hint="eastAsia"/>
          <w:sz w:val="24"/>
        </w:rPr>
        <w:t>类实践</w:t>
      </w:r>
      <w:proofErr w:type="gramEnd"/>
      <w:r>
        <w:rPr>
          <w:rFonts w:ascii="楷体_GB2312" w:eastAsia="楷体_GB2312" w:hint="eastAsia"/>
          <w:sz w:val="24"/>
        </w:rPr>
        <w:t>教学学分占总学分的比重均超过28%，理工</w:t>
      </w:r>
      <w:proofErr w:type="gramStart"/>
      <w:r>
        <w:rPr>
          <w:rFonts w:ascii="楷体_GB2312" w:eastAsia="楷体_GB2312" w:hint="eastAsia"/>
          <w:sz w:val="24"/>
        </w:rPr>
        <w:t>类实践</w:t>
      </w:r>
      <w:proofErr w:type="gramEnd"/>
      <w:r>
        <w:rPr>
          <w:rFonts w:ascii="楷体_GB2312" w:eastAsia="楷体_GB2312" w:hint="eastAsia"/>
          <w:sz w:val="24"/>
        </w:rPr>
        <w:t>教学学分占总学分的比重均超过31%，二是强化学生职业技能训练，要求每位学生毕业前必须获得一个职业技能证书；三是将实践</w:t>
      </w:r>
      <w:proofErr w:type="gramStart"/>
      <w:r>
        <w:rPr>
          <w:rFonts w:ascii="楷体_GB2312" w:eastAsia="楷体_GB2312" w:hint="eastAsia"/>
          <w:sz w:val="24"/>
        </w:rPr>
        <w:t>创新学</w:t>
      </w:r>
      <w:proofErr w:type="gramEnd"/>
      <w:r>
        <w:rPr>
          <w:rFonts w:ascii="楷体_GB2312" w:eastAsia="楷体_GB2312" w:hint="eastAsia"/>
          <w:sz w:val="24"/>
        </w:rPr>
        <w:t>分设为必修学分，学生可以通过参加学科竞赛、实践创新训练立项、发表学术论文、申请专利等获得实践创新学分。</w:t>
      </w:r>
    </w:p>
    <w:p w:rsidR="00CE4C30" w:rsidRDefault="00F84128" w:rsidP="00F84128">
      <w:pPr>
        <w:spacing w:line="400" w:lineRule="exact"/>
        <w:ind w:firstLineChars="300" w:firstLine="720"/>
        <w:rPr>
          <w:rFonts w:ascii="楷体_GB2312" w:eastAsia="楷体_GB2312"/>
          <w:sz w:val="24"/>
        </w:rPr>
      </w:pPr>
      <w:r>
        <w:rPr>
          <w:rFonts w:ascii="楷体_GB2312" w:eastAsia="楷体_GB2312" w:hint="eastAsia"/>
          <w:sz w:val="24"/>
        </w:rPr>
        <w:t>学院还</w:t>
      </w:r>
      <w:r w:rsidR="00CE4C30">
        <w:rPr>
          <w:rFonts w:ascii="楷体_GB2312" w:eastAsia="楷体_GB2312" w:hint="eastAsia"/>
          <w:sz w:val="24"/>
        </w:rPr>
        <w:t>调整了指导学生毕业设计（论文）的酬金标准及省优毕业设计（论文）的奖励，激励广大指导教师增强责任意识，认真完成毕业设计（论文）环节的各项指导任务，充分发挥指导教师在毕业设计（论文）工作中培养学生实践能力、综合素质的作用，提高毕业设计（论文）质量。</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除了列入人才培养方案的实践环节外，学校还以本科生课外科技创新与实践活动为主线，以学科竞赛、课外学术科技作品、各级大学生创新实践训练项目和创业大赛等为抓手，设立了创新创业实践项目和学生竞赛专项经费，多形式训练学生创新创业能力和实践能力。</w:t>
      </w:r>
    </w:p>
    <w:p w:rsidR="00CE4C30" w:rsidRDefault="00F84128">
      <w:pPr>
        <w:spacing w:line="400" w:lineRule="exact"/>
        <w:ind w:firstLineChars="200" w:firstLine="480"/>
        <w:rPr>
          <w:rFonts w:ascii="楷体_GB2312" w:eastAsia="楷体_GB2312"/>
          <w:sz w:val="24"/>
        </w:rPr>
      </w:pPr>
      <w:r>
        <w:rPr>
          <w:rFonts w:ascii="楷体_GB2312" w:eastAsia="楷体_GB2312" w:hint="eastAsia"/>
          <w:sz w:val="24"/>
        </w:rPr>
        <w:lastRenderedPageBreak/>
        <w:t>学院</w:t>
      </w:r>
      <w:r w:rsidR="00CE4C30">
        <w:rPr>
          <w:rFonts w:ascii="楷体_GB2312" w:eastAsia="楷体_GB2312" w:hint="eastAsia"/>
          <w:sz w:val="24"/>
        </w:rPr>
        <w:t>修订了原有的学生学科竞赛奖励实施办法，形成了《东南大学成贤学院学生科技成果、学科竞赛奖励实施办法》；修订了《东南大学成贤学院大学生实践创新学分认定办法》。</w:t>
      </w:r>
      <w:r>
        <w:rPr>
          <w:rFonts w:ascii="楷体_GB2312" w:eastAsia="楷体_GB2312" w:hint="eastAsia"/>
          <w:sz w:val="24"/>
        </w:rPr>
        <w:t>新的制度极大的提高了学生参与竞赛和创新的积极性，提升了人才培养的质量。</w:t>
      </w:r>
    </w:p>
    <w:p w:rsidR="00CE4C30" w:rsidRDefault="00F84128">
      <w:pPr>
        <w:spacing w:line="400" w:lineRule="exact"/>
        <w:ind w:firstLineChars="200" w:firstLine="480"/>
        <w:rPr>
          <w:rFonts w:ascii="楷体_GB2312" w:eastAsia="楷体_GB2312"/>
          <w:sz w:val="24"/>
        </w:rPr>
      </w:pPr>
      <w:r>
        <w:rPr>
          <w:rFonts w:ascii="楷体_GB2312" w:eastAsia="楷体_GB2312" w:hint="eastAsia"/>
          <w:sz w:val="24"/>
        </w:rPr>
        <w:t>学院</w:t>
      </w:r>
      <w:r w:rsidR="00CE4C30">
        <w:rPr>
          <w:rFonts w:ascii="楷体_GB2312" w:eastAsia="楷体_GB2312" w:hint="eastAsia"/>
          <w:sz w:val="24"/>
        </w:rPr>
        <w:t>举办和参加各类竞赛36项，参加各类竞赛活动的学生3</w:t>
      </w:r>
      <w:r>
        <w:rPr>
          <w:rFonts w:ascii="楷体_GB2312" w:eastAsia="楷体_GB2312" w:hint="eastAsia"/>
          <w:sz w:val="24"/>
        </w:rPr>
        <w:t>000多</w:t>
      </w:r>
      <w:r w:rsidR="00CE4C30">
        <w:rPr>
          <w:rFonts w:ascii="楷体_GB2312" w:eastAsia="楷体_GB2312" w:hint="eastAsia"/>
          <w:sz w:val="24"/>
        </w:rPr>
        <w:t>人次，参与指导教师70</w:t>
      </w:r>
      <w:r>
        <w:rPr>
          <w:rFonts w:ascii="楷体_GB2312" w:eastAsia="楷体_GB2312" w:hint="eastAsia"/>
          <w:sz w:val="24"/>
        </w:rPr>
        <w:t>余</w:t>
      </w:r>
      <w:r w:rsidR="00CE4C30">
        <w:rPr>
          <w:rFonts w:ascii="楷体_GB2312" w:eastAsia="楷体_GB2312" w:hint="eastAsia"/>
          <w:sz w:val="24"/>
        </w:rPr>
        <w:t>人次</w:t>
      </w:r>
      <w:r>
        <w:rPr>
          <w:rFonts w:ascii="楷体_GB2312" w:eastAsia="楷体_GB2312" w:hint="eastAsia"/>
          <w:sz w:val="24"/>
        </w:rPr>
        <w:t>。</w:t>
      </w:r>
      <w:r w:rsidR="00CE4C30">
        <w:rPr>
          <w:rFonts w:ascii="楷体_GB2312" w:eastAsia="楷体_GB2312" w:hint="eastAsia"/>
          <w:sz w:val="24"/>
        </w:rPr>
        <w:t>获得省部级以上竞赛奖励</w:t>
      </w:r>
      <w:r>
        <w:rPr>
          <w:rFonts w:ascii="楷体_GB2312" w:eastAsia="楷体_GB2312" w:hint="eastAsia"/>
          <w:sz w:val="24"/>
        </w:rPr>
        <w:t>165项其中141项为</w:t>
      </w:r>
      <w:r w:rsidR="00CE4C30">
        <w:rPr>
          <w:rFonts w:ascii="楷体_GB2312" w:eastAsia="楷体_GB2312" w:hint="eastAsia"/>
          <w:sz w:val="24"/>
        </w:rPr>
        <w:t>学生获得科技成果、学科竞赛奖励</w:t>
      </w:r>
      <w:r>
        <w:rPr>
          <w:rFonts w:ascii="楷体_GB2312" w:eastAsia="楷体_GB2312" w:hint="eastAsia"/>
          <w:sz w:val="24"/>
        </w:rPr>
        <w:t>，学生发表了17篇学术论文。</w:t>
      </w:r>
    </w:p>
    <w:p w:rsidR="00CE4C30" w:rsidRDefault="00CE4C30">
      <w:pPr>
        <w:autoSpaceDE w:val="0"/>
        <w:autoSpaceDN w:val="0"/>
        <w:adjustRightInd w:val="0"/>
        <w:spacing w:line="400" w:lineRule="exact"/>
        <w:jc w:val="center"/>
        <w:rPr>
          <w:rFonts w:ascii="楷体_GB2312" w:eastAsia="楷体_GB2312" w:hAnsi="宋体" w:cs="宋体"/>
          <w:color w:val="000000"/>
          <w:kern w:val="0"/>
          <w:sz w:val="24"/>
          <w:lang w:bidi="bn-BD"/>
        </w:rPr>
      </w:pPr>
      <w:r>
        <w:rPr>
          <w:rFonts w:ascii="楷体_GB2312" w:eastAsia="楷体_GB2312" w:hAnsi="宋体" w:cs="宋体" w:hint="eastAsia"/>
          <w:color w:val="000000"/>
          <w:kern w:val="0"/>
          <w:sz w:val="24"/>
          <w:lang w:bidi="bn-BD"/>
        </w:rPr>
        <w:t>表2  参加和举办的各类竞赛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6713"/>
      </w:tblGrid>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b/>
                <w:kern w:val="0"/>
                <w:szCs w:val="21"/>
              </w:rPr>
            </w:pPr>
            <w:r>
              <w:rPr>
                <w:rFonts w:ascii="楷体_GB2312" w:eastAsia="楷体_GB2312" w:hAnsi="宋体" w:cs="宋体" w:hint="eastAsia"/>
                <w:b/>
                <w:kern w:val="0"/>
                <w:szCs w:val="21"/>
              </w:rPr>
              <w:t>序号</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b/>
                <w:kern w:val="0"/>
                <w:szCs w:val="21"/>
              </w:rPr>
            </w:pPr>
            <w:r>
              <w:rPr>
                <w:rFonts w:ascii="楷体_GB2312" w:eastAsia="楷体_GB2312" w:hAnsi="宋体" w:cs="宋体" w:hint="eastAsia"/>
                <w:b/>
                <w:bCs/>
                <w:color w:val="000000"/>
                <w:kern w:val="0"/>
                <w:szCs w:val="21"/>
              </w:rPr>
              <w:t>竞赛名称</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b/>
                <w:bCs/>
                <w:color w:val="000000"/>
                <w:kern w:val="0"/>
                <w:szCs w:val="21"/>
              </w:rPr>
            </w:pPr>
            <w:r>
              <w:rPr>
                <w:rFonts w:ascii="楷体_GB2312" w:eastAsia="楷体_GB2312" w:hAnsi="宋体" w:cs="宋体" w:hint="eastAsia"/>
                <w:kern w:val="0"/>
                <w:szCs w:val="21"/>
              </w:rPr>
              <w:t>全国大学生电子设计竞赛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b/>
                <w:bCs/>
                <w:color w:val="000000"/>
                <w:kern w:val="0"/>
                <w:szCs w:val="21"/>
              </w:rPr>
            </w:pPr>
            <w:r>
              <w:rPr>
                <w:rFonts w:ascii="楷体_GB2312" w:eastAsia="楷体_GB2312" w:hAnsi="宋体" w:cs="宋体" w:hint="eastAsia"/>
                <w:kern w:val="0"/>
                <w:szCs w:val="21"/>
              </w:rPr>
              <w:t>全国大学生数学建模竞赛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b/>
                <w:bCs/>
                <w:color w:val="000000"/>
                <w:kern w:val="0"/>
                <w:szCs w:val="21"/>
              </w:rPr>
            </w:pPr>
            <w:r>
              <w:rPr>
                <w:rFonts w:ascii="楷体_GB2312" w:eastAsia="楷体_GB2312" w:hAnsi="宋体" w:cs="宋体" w:hint="eastAsia"/>
                <w:kern w:val="0"/>
                <w:szCs w:val="21"/>
              </w:rPr>
              <w:t>全国大学生英语竞赛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b/>
                <w:bCs/>
                <w:color w:val="000000"/>
                <w:kern w:val="0"/>
                <w:szCs w:val="21"/>
              </w:rPr>
            </w:pPr>
            <w:r>
              <w:rPr>
                <w:rFonts w:ascii="楷体_GB2312" w:eastAsia="楷体_GB2312" w:hAnsi="宋体" w:cs="宋体" w:hint="eastAsia"/>
                <w:kern w:val="0"/>
                <w:szCs w:val="21"/>
              </w:rPr>
              <w:t>全国大学生化工设计竞赛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5</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中国高校美术作品学年展</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6</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全国周培源大学生力学竞赛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7</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全国英语写作大赛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8</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kern w:val="0"/>
                <w:szCs w:val="21"/>
              </w:rPr>
              <w:t>全国大学生会计信息化技能大赛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9</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全国高等院校建筑与环境设计专业学生美术作品大奖赛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10</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全国大学生网络商务创新应用大赛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11</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全国大学生“飞思卡尔”杯智能汽车竞赛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12</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“蓝桥杯”全国软件和信息技术专业人才大赛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13</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POCIB全国大学生外贸从业能力大赛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14</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全国大学生电子商务“创新、创意及创业”挑战赛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15</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中国自动化大奖赛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16</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 xml:space="preserve"> “浩辰杯”华东区大学生CAD应用技能竞赛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17</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全国大学生沙盘模拟经营大赛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18</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全国大学生创业综合模拟大赛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19</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中国大学生计算机设计大赛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20</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江苏省大学生力学竞赛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21</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江苏省大学生力学竞赛基础力学实验赛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22</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江苏省大学生机器人大赛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23</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东南大学结构创新竞赛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24</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kern w:val="0"/>
                <w:szCs w:val="21"/>
              </w:rPr>
              <w:t>江苏省大学生职业规划大赛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25</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南京室内设计大奖赛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26</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东南大学成贤学院电子商务“三创”大赛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27</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东南大学成贤学院大学生CAD技术应用竞赛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28</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东南大学成贤学院职业生涯规划大赛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29</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东南大学成贤学院电子设计竞赛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30</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东南大学成贤学院数学建模竞赛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lastRenderedPageBreak/>
              <w:t>31</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东南大学成贤学院英语写作大赛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32</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东南大学成贤学院英语演讲大赛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33</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东南大学成贤学院高等数学竞赛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34</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东南大学成贤学院ERP企业经营沙盘模拟大赛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35</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东南大学成贤学院会计技能大赛</w:t>
            </w:r>
          </w:p>
        </w:tc>
      </w:tr>
      <w:tr w:rsidR="00CE4C30">
        <w:trPr>
          <w:trHeight w:hRule="exact" w:val="340"/>
          <w:jc w:val="center"/>
        </w:trPr>
        <w:tc>
          <w:tcPr>
            <w:tcW w:w="949"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36</w:t>
            </w:r>
          </w:p>
        </w:tc>
        <w:tc>
          <w:tcPr>
            <w:tcW w:w="6713" w:type="dxa"/>
            <w:tcBorders>
              <w:top w:val="single" w:sz="4" w:space="0" w:color="auto"/>
              <w:left w:val="single" w:sz="4" w:space="0" w:color="auto"/>
              <w:bottom w:val="single" w:sz="4" w:space="0" w:color="auto"/>
              <w:right w:val="single" w:sz="4" w:space="0" w:color="auto"/>
            </w:tcBorders>
            <w:vAlign w:val="center"/>
          </w:tcPr>
          <w:p w:rsidR="00CE4C30" w:rsidRDefault="00CE4C30">
            <w:pPr>
              <w:widowControl/>
              <w:jc w:val="center"/>
              <w:rPr>
                <w:rFonts w:ascii="楷体_GB2312" w:eastAsia="楷体_GB2312" w:hAnsi="宋体" w:cs="宋体"/>
                <w:kern w:val="0"/>
                <w:szCs w:val="21"/>
              </w:rPr>
            </w:pPr>
            <w:r>
              <w:rPr>
                <w:rFonts w:ascii="楷体_GB2312" w:eastAsia="楷体_GB2312" w:hAnsi="宋体" w:cs="宋体" w:hint="eastAsia"/>
                <w:kern w:val="0"/>
                <w:szCs w:val="21"/>
              </w:rPr>
              <w:t>东南大学成贤学院计算机程序设计竞赛</w:t>
            </w:r>
          </w:p>
        </w:tc>
      </w:tr>
    </w:tbl>
    <w:p w:rsidR="00CE4C30" w:rsidRDefault="00F84128">
      <w:pPr>
        <w:spacing w:line="400" w:lineRule="exact"/>
        <w:ind w:firstLineChars="200" w:firstLine="480"/>
        <w:rPr>
          <w:rFonts w:ascii="楷体_GB2312" w:eastAsia="楷体_GB2312"/>
          <w:sz w:val="24"/>
        </w:rPr>
      </w:pPr>
      <w:r>
        <w:rPr>
          <w:rFonts w:ascii="楷体_GB2312" w:eastAsia="楷体_GB2312" w:hint="eastAsia"/>
          <w:sz w:val="24"/>
        </w:rPr>
        <w:t>学院</w:t>
      </w:r>
      <w:r w:rsidR="00CE4C30">
        <w:rPr>
          <w:rFonts w:ascii="楷体_GB2312" w:eastAsia="楷体_GB2312" w:hint="eastAsia"/>
          <w:sz w:val="24"/>
        </w:rPr>
        <w:t>共设立大学生实践创新训练计划项目立项</w:t>
      </w:r>
      <w:r w:rsidR="008F17AD">
        <w:rPr>
          <w:rFonts w:ascii="楷体_GB2312" w:eastAsia="楷体_GB2312" w:hint="eastAsia"/>
          <w:sz w:val="24"/>
        </w:rPr>
        <w:t>79</w:t>
      </w:r>
      <w:r w:rsidR="00CE4C30">
        <w:rPr>
          <w:rFonts w:ascii="楷体_GB2312" w:eastAsia="楷体_GB2312" w:hint="eastAsia"/>
          <w:sz w:val="24"/>
        </w:rPr>
        <w:t>项，其中省级立项</w:t>
      </w:r>
      <w:r w:rsidR="008F17AD">
        <w:rPr>
          <w:rFonts w:ascii="楷体_GB2312" w:eastAsia="楷体_GB2312" w:hint="eastAsia"/>
          <w:sz w:val="24"/>
        </w:rPr>
        <w:t>30</w:t>
      </w:r>
      <w:r w:rsidR="00CE4C30">
        <w:rPr>
          <w:rFonts w:ascii="楷体_GB2312" w:eastAsia="楷体_GB2312" w:hint="eastAsia"/>
          <w:sz w:val="24"/>
        </w:rPr>
        <w:t>项，校级立项4</w:t>
      </w:r>
      <w:r w:rsidR="008F17AD">
        <w:rPr>
          <w:rFonts w:ascii="楷体_GB2312" w:eastAsia="楷体_GB2312" w:hint="eastAsia"/>
          <w:sz w:val="24"/>
        </w:rPr>
        <w:t>9</w:t>
      </w:r>
      <w:r w:rsidR="00CE4C30">
        <w:rPr>
          <w:rFonts w:ascii="楷体_GB2312" w:eastAsia="楷体_GB2312" w:hint="eastAsia"/>
          <w:sz w:val="24"/>
        </w:rPr>
        <w:t>项，参与学生</w:t>
      </w:r>
      <w:r w:rsidR="008F17AD">
        <w:rPr>
          <w:rFonts w:ascii="楷体_GB2312" w:eastAsia="楷体_GB2312" w:hint="eastAsia"/>
          <w:sz w:val="24"/>
        </w:rPr>
        <w:t>近300</w:t>
      </w:r>
      <w:r w:rsidR="00CE4C30">
        <w:rPr>
          <w:rFonts w:ascii="楷体_GB2312" w:eastAsia="楷体_GB2312" w:hint="eastAsia"/>
          <w:sz w:val="24"/>
        </w:rPr>
        <w:t>人。对</w:t>
      </w:r>
      <w:r w:rsidR="008F17AD">
        <w:rPr>
          <w:rFonts w:ascii="楷体_GB2312" w:eastAsia="楷体_GB2312" w:hint="eastAsia"/>
          <w:sz w:val="24"/>
        </w:rPr>
        <w:t>上一学年</w:t>
      </w:r>
      <w:r w:rsidR="00CE4C30">
        <w:rPr>
          <w:rFonts w:ascii="楷体_GB2312" w:eastAsia="楷体_GB2312" w:hint="eastAsia"/>
          <w:sz w:val="24"/>
        </w:rPr>
        <w:t>批准立项的项目进行了结</w:t>
      </w:r>
      <w:r w:rsidR="008F17AD">
        <w:rPr>
          <w:rFonts w:ascii="楷体_GB2312" w:eastAsia="楷体_GB2312" w:hint="eastAsia"/>
          <w:sz w:val="24"/>
        </w:rPr>
        <w:t>题验收，</w:t>
      </w:r>
      <w:r w:rsidR="00CE4C30">
        <w:rPr>
          <w:rFonts w:ascii="楷体_GB2312" w:eastAsia="楷体_GB2312" w:hint="eastAsia"/>
          <w:sz w:val="24"/>
        </w:rPr>
        <w:t>通过答辩和专家评审，</w:t>
      </w:r>
      <w:r w:rsidR="00F22CFE">
        <w:rPr>
          <w:rFonts w:ascii="楷体_GB2312" w:eastAsia="楷体_GB2312" w:hint="eastAsia"/>
          <w:sz w:val="24"/>
        </w:rPr>
        <w:t>20</w:t>
      </w:r>
      <w:r w:rsidR="00CE4C30">
        <w:rPr>
          <w:rFonts w:ascii="楷体_GB2312" w:eastAsia="楷体_GB2312" w:hint="eastAsia"/>
          <w:sz w:val="24"/>
        </w:rPr>
        <w:t>个项目获得优秀，</w:t>
      </w:r>
      <w:r w:rsidR="00F22CFE">
        <w:rPr>
          <w:rFonts w:ascii="楷体_GB2312" w:eastAsia="楷体_GB2312" w:hint="eastAsia"/>
          <w:sz w:val="24"/>
        </w:rPr>
        <w:t>47</w:t>
      </w:r>
      <w:r w:rsidR="00CE4C30">
        <w:rPr>
          <w:rFonts w:ascii="楷体_GB2312" w:eastAsia="楷体_GB2312" w:hint="eastAsia"/>
          <w:sz w:val="24"/>
        </w:rPr>
        <w:t>个项目获得良好。</w:t>
      </w:r>
      <w:bookmarkEnd w:id="7"/>
      <w:bookmarkEnd w:id="8"/>
      <w:bookmarkEnd w:id="9"/>
      <w:bookmarkEnd w:id="10"/>
      <w:r w:rsidR="00CE4C30">
        <w:rPr>
          <w:rFonts w:ascii="楷体_GB2312" w:eastAsia="楷体_GB2312" w:hint="eastAsia"/>
          <w:sz w:val="24"/>
        </w:rPr>
        <w:t>学校积极推进校际合作、校企合作，拓宽合作的方式和途径。本校学生在其他高校学习的总人数为</w:t>
      </w:r>
      <w:r w:rsidR="00F52A48">
        <w:rPr>
          <w:rFonts w:ascii="楷体_GB2312" w:eastAsia="楷体_GB2312" w:hint="eastAsia"/>
          <w:sz w:val="24"/>
        </w:rPr>
        <w:t>62</w:t>
      </w:r>
      <w:r w:rsidR="00CE4C30">
        <w:rPr>
          <w:rFonts w:ascii="楷体_GB2312" w:eastAsia="楷体_GB2312" w:hint="eastAsia"/>
          <w:sz w:val="24"/>
        </w:rPr>
        <w:t>人</w:t>
      </w:r>
      <w:r w:rsidR="00F52A48">
        <w:rPr>
          <w:rFonts w:ascii="楷体_GB2312" w:eastAsia="楷体_GB2312" w:hint="eastAsia"/>
          <w:sz w:val="24"/>
        </w:rPr>
        <w:t>.</w:t>
      </w:r>
    </w:p>
    <w:p w:rsidR="00CE4C30" w:rsidRDefault="00CE4C30" w:rsidP="003A55CD">
      <w:pPr>
        <w:spacing w:line="400" w:lineRule="exact"/>
        <w:ind w:firstLineChars="200" w:firstLine="480"/>
        <w:rPr>
          <w:rFonts w:ascii="楷体_GB2312" w:eastAsia="楷体_GB2312"/>
          <w:b/>
          <w:sz w:val="24"/>
        </w:rPr>
      </w:pPr>
      <w:r>
        <w:rPr>
          <w:rFonts w:ascii="楷体_GB2312" w:eastAsia="楷体_GB2312" w:hint="eastAsia"/>
          <w:b/>
          <w:sz w:val="24"/>
        </w:rPr>
        <w:t>四、教学质量保证体系</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1.教学质量保证体系建设</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学校重视教学质量保证体系建设，构建了较为完善的教学质量监控与保障体系，形成了“院教学委员会→院教学督导组→系主任→专业负责人→班级学生教学信息员”这一相对完整的教学质量管理链。各教学环节相关质量标准完善。督导、专家、领导听课方面有《东南大学成贤学院教学督导专家组工作条例》和《东南大学成贤学院领导干部听课制度》等；日常教学和教学管理方面有《东南大学成贤学院教师教学工作规范》、《东南大学成贤学院关于进一步规范课堂教学秩序的规定》和《东南大学关于教师调课的管理规定》等；考试命题、阅卷及考</w:t>
      </w:r>
      <w:proofErr w:type="gramStart"/>
      <w:r>
        <w:rPr>
          <w:rFonts w:ascii="楷体_GB2312" w:eastAsia="楷体_GB2312" w:hint="eastAsia"/>
          <w:sz w:val="24"/>
        </w:rPr>
        <w:t>务</w:t>
      </w:r>
      <w:proofErr w:type="gramEnd"/>
      <w:r>
        <w:rPr>
          <w:rFonts w:ascii="楷体_GB2312" w:eastAsia="楷体_GB2312" w:hint="eastAsia"/>
          <w:sz w:val="24"/>
        </w:rPr>
        <w:t>管理方面有《东南大学成贤学院关于考试命题、阅卷及成绩评定的规定》和《东南大学成贤学院考务相关工作规定》；学生管理方面有《东南大学成贤学院“学生学习预警机制”实施细则及相关通知》和《东南大学成贤学院奖惩制度》等；信息反馈方面有《东南大学成贤学院教师评学办法》和《东南大学成贤学院学生评教办法》等。</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2.质保体系日常运行</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学院常年坚持“每学期第一周的大密度全天候教学检查→院和系两级联动、教学线和学生线两条线联动的期中教学检查→每周的学生信息员教学情况调查及反馈→各级领导和督导组的随机听课→每学期期中的教师评学和期末的学生评教→每学期的课程考核质量检查及定期通报教学工作情况制度→每年的毕业生调查”等，质保体系日常运行规范有序，主要监控点覆盖教学全过程，且与教学运行周期相吻合，周而复始，循环往复，并做到有检查，有反馈，使检查评价工作落到实处。</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除了常规检查外，还有毕业设计（论文）质量检查、试卷抽查、实验室管理工作检查、专业抽检等专项检查，确保每项工作的质量。</w:t>
      </w:r>
    </w:p>
    <w:p w:rsidR="00CE4C30" w:rsidRDefault="00CE4C30" w:rsidP="003A55CD">
      <w:pPr>
        <w:spacing w:line="400" w:lineRule="exact"/>
        <w:ind w:firstLineChars="200" w:firstLine="480"/>
        <w:rPr>
          <w:rFonts w:ascii="楷体_GB2312" w:eastAsia="楷体_GB2312"/>
          <w:b/>
          <w:sz w:val="24"/>
        </w:rPr>
      </w:pPr>
      <w:r>
        <w:rPr>
          <w:rFonts w:ascii="楷体_GB2312" w:eastAsia="楷体_GB2312" w:hint="eastAsia"/>
          <w:b/>
          <w:sz w:val="24"/>
        </w:rPr>
        <w:lastRenderedPageBreak/>
        <w:t>五、存在问题及改进措施</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1.存在问题</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在学界、业界有影响力的高水平学科带头人和中青年骨干相对不足；青年教师工程实践能力和应用研究能力</w:t>
      </w:r>
      <w:r w:rsidR="006A44E4">
        <w:rPr>
          <w:rFonts w:ascii="楷体_GB2312" w:eastAsia="楷体_GB2312" w:hint="eastAsia"/>
          <w:sz w:val="24"/>
        </w:rPr>
        <w:t>有</w:t>
      </w:r>
      <w:r>
        <w:rPr>
          <w:rFonts w:ascii="楷体_GB2312" w:eastAsia="楷体_GB2312" w:hint="eastAsia"/>
          <w:sz w:val="24"/>
        </w:rPr>
        <w:t>待提高，具有行业背景和工程背景的教师比例较小。</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 xml:space="preserve">应用型人才培养的思路和模式有待进一步拓广，校企合作、国际合作、应用研究等需要进一步拓展。 </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2.改进措施</w:t>
      </w:r>
    </w:p>
    <w:p w:rsidR="00CE4C30" w:rsidRDefault="00CE4C30">
      <w:pPr>
        <w:spacing w:line="400" w:lineRule="exact"/>
        <w:ind w:firstLineChars="200" w:firstLine="480"/>
        <w:rPr>
          <w:rFonts w:ascii="楷体_GB2312" w:eastAsia="楷体_GB2312"/>
          <w:sz w:val="24"/>
        </w:rPr>
      </w:pPr>
      <w:r>
        <w:rPr>
          <w:rFonts w:ascii="楷体_GB2312" w:eastAsia="楷体_GB2312" w:hint="eastAsia"/>
          <w:sz w:val="24"/>
        </w:rPr>
        <w:t>做好师资队伍建设规划，加大人才引进力度和渠道，加快高水平学科专业带头人的配备，采取学术类与工程类（或业界人士）互补的配置原则。创新师资队伍建设模式，优化教师队伍结构。在现有教师总数基础上，适当增加一些人才储备，为学院可持续发展和教师专业发展及工程实践能力培养留有适度空间。试行校际互聘、</w:t>
      </w:r>
      <w:proofErr w:type="gramStart"/>
      <w:r>
        <w:rPr>
          <w:rFonts w:ascii="楷体_GB2312" w:eastAsia="楷体_GB2312" w:hint="eastAsia"/>
          <w:sz w:val="24"/>
        </w:rPr>
        <w:t>多校联聘</w:t>
      </w:r>
      <w:proofErr w:type="gramEnd"/>
      <w:r>
        <w:rPr>
          <w:rFonts w:ascii="楷体_GB2312" w:eastAsia="楷体_GB2312" w:hint="eastAsia"/>
          <w:sz w:val="24"/>
        </w:rPr>
        <w:t>、校企混编团队等灵活多样的模式，扩大兼职教师特别是企业教师兼聘范围。加大现有教师的培养力度，全面提高教师队伍的教学能力、学术水平和工程实践能力，三年内实现青年教师到相关业界轮训一遍的目标。</w:t>
      </w:r>
    </w:p>
    <w:p w:rsidR="00CE4C30" w:rsidRDefault="00CE4C30" w:rsidP="00884327">
      <w:pPr>
        <w:spacing w:line="400" w:lineRule="exact"/>
        <w:ind w:firstLineChars="200" w:firstLine="480"/>
        <w:rPr>
          <w:rFonts w:ascii="楷体_GB2312" w:eastAsia="楷体_GB2312" w:hAnsi="华文仿宋" w:cs="宋体"/>
          <w:color w:val="000000"/>
          <w:kern w:val="0"/>
          <w:sz w:val="24"/>
        </w:rPr>
      </w:pPr>
      <w:r>
        <w:rPr>
          <w:rFonts w:ascii="楷体_GB2312" w:eastAsia="楷体_GB2312" w:hint="eastAsia"/>
          <w:sz w:val="24"/>
        </w:rPr>
        <w:t xml:space="preserve">探索学校与企业共建校内外生产性实训基地、共建师生实践能力培训基地、共建企业员工培训基地、共建专业与实体企业融为一体的“实体专业”等，形成产学深度合作的多种教学形态；在校企合作的形式、内容、实施方案上深入探索，力争走出一条企业、高校和学生三方共赢的合作教育之路。大力推进本科生在校期间的境外交换生培养，扩大交换生比例，尝试接受境外交流生；在院、系两个层面有针对性地寻求合作对象，加强与境外高校的合作与交流，加强与跨国企业的合作，逐步提高学院的国际化办学水平，在更高的层面上提升办学水平和人才培养质量。   </w:t>
      </w:r>
      <w:bookmarkEnd w:id="6"/>
    </w:p>
    <w:p w:rsidR="00F52A48" w:rsidRDefault="00F52A48">
      <w:pPr>
        <w:widowControl/>
        <w:spacing w:before="340" w:after="330"/>
        <w:jc w:val="center"/>
        <w:outlineLvl w:val="0"/>
        <w:rPr>
          <w:rFonts w:ascii="楷体_GB2312" w:eastAsia="楷体_GB2312" w:hAnsi="Verdana" w:cs="宋体"/>
          <w:b/>
          <w:bCs/>
          <w:color w:val="000000"/>
          <w:kern w:val="36"/>
          <w:sz w:val="30"/>
          <w:szCs w:val="44"/>
        </w:rPr>
      </w:pPr>
      <w:bookmarkStart w:id="11" w:name="_Toc303676670"/>
      <w:bookmarkEnd w:id="11"/>
    </w:p>
    <w:sectPr w:rsidR="00F52A48" w:rsidSect="003B641A">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0C" w:rsidRDefault="0073700C">
      <w:r>
        <w:separator/>
      </w:r>
    </w:p>
  </w:endnote>
  <w:endnote w:type="continuationSeparator" w:id="0">
    <w:p w:rsidR="0073700C" w:rsidRDefault="00737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48" w:rsidRDefault="00703248">
    <w:pPr>
      <w:pStyle w:val="a6"/>
      <w:framePr w:wrap="around" w:vAnchor="text" w:hAnchor="margin" w:xAlign="center" w:y="1"/>
      <w:rPr>
        <w:rStyle w:val="a4"/>
      </w:rPr>
    </w:pPr>
    <w:r>
      <w:fldChar w:fldCharType="begin"/>
    </w:r>
    <w:r>
      <w:rPr>
        <w:rStyle w:val="a4"/>
      </w:rPr>
      <w:instrText xml:space="preserve">PAGE  </w:instrText>
    </w:r>
    <w:r>
      <w:fldChar w:fldCharType="end"/>
    </w:r>
  </w:p>
  <w:p w:rsidR="00703248" w:rsidRDefault="007032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48" w:rsidRDefault="00703248">
    <w:pPr>
      <w:pStyle w:val="a6"/>
      <w:framePr w:wrap="around" w:vAnchor="text" w:hAnchor="margin" w:xAlign="center" w:y="1"/>
      <w:rPr>
        <w:rStyle w:val="a4"/>
      </w:rPr>
    </w:pPr>
    <w:r>
      <w:fldChar w:fldCharType="begin"/>
    </w:r>
    <w:r>
      <w:rPr>
        <w:rStyle w:val="a4"/>
      </w:rPr>
      <w:instrText xml:space="preserve">PAGE  </w:instrText>
    </w:r>
    <w:r>
      <w:fldChar w:fldCharType="separate"/>
    </w:r>
    <w:r w:rsidR="00321F2E">
      <w:rPr>
        <w:rStyle w:val="a4"/>
        <w:noProof/>
      </w:rPr>
      <w:t>9</w:t>
    </w:r>
    <w:r>
      <w:fldChar w:fldCharType="end"/>
    </w:r>
  </w:p>
  <w:p w:rsidR="00703248" w:rsidRDefault="007032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0C" w:rsidRDefault="0073700C">
      <w:r>
        <w:separator/>
      </w:r>
    </w:p>
  </w:footnote>
  <w:footnote w:type="continuationSeparator" w:id="0">
    <w:p w:rsidR="0073700C" w:rsidRDefault="00737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48" w:rsidRDefault="00703248" w:rsidP="00283A2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0685"/>
    <w:rsid w:val="000047AC"/>
    <w:rsid w:val="00036F11"/>
    <w:rsid w:val="0004187A"/>
    <w:rsid w:val="00050049"/>
    <w:rsid w:val="00056E4F"/>
    <w:rsid w:val="00057565"/>
    <w:rsid w:val="00057D1E"/>
    <w:rsid w:val="000677AD"/>
    <w:rsid w:val="0007285C"/>
    <w:rsid w:val="00077BBE"/>
    <w:rsid w:val="000841B5"/>
    <w:rsid w:val="00095882"/>
    <w:rsid w:val="000C43E1"/>
    <w:rsid w:val="000C606F"/>
    <w:rsid w:val="000D1300"/>
    <w:rsid w:val="000D16FC"/>
    <w:rsid w:val="000E0947"/>
    <w:rsid w:val="000E27DB"/>
    <w:rsid w:val="000F028C"/>
    <w:rsid w:val="00100FF5"/>
    <w:rsid w:val="0010788C"/>
    <w:rsid w:val="0011249B"/>
    <w:rsid w:val="00116182"/>
    <w:rsid w:val="0012543B"/>
    <w:rsid w:val="00136E27"/>
    <w:rsid w:val="00144F77"/>
    <w:rsid w:val="00146A00"/>
    <w:rsid w:val="00147A51"/>
    <w:rsid w:val="00174414"/>
    <w:rsid w:val="00180D44"/>
    <w:rsid w:val="00183C4F"/>
    <w:rsid w:val="00191327"/>
    <w:rsid w:val="00196934"/>
    <w:rsid w:val="001B1D83"/>
    <w:rsid w:val="001C00F1"/>
    <w:rsid w:val="001C11D4"/>
    <w:rsid w:val="001D45AF"/>
    <w:rsid w:val="001F08E6"/>
    <w:rsid w:val="001F0FCD"/>
    <w:rsid w:val="001F6645"/>
    <w:rsid w:val="00227319"/>
    <w:rsid w:val="0023337C"/>
    <w:rsid w:val="002372E4"/>
    <w:rsid w:val="00244E7E"/>
    <w:rsid w:val="00261235"/>
    <w:rsid w:val="002632ED"/>
    <w:rsid w:val="00270E80"/>
    <w:rsid w:val="00271A8D"/>
    <w:rsid w:val="00272BE9"/>
    <w:rsid w:val="0027369C"/>
    <w:rsid w:val="00283A2B"/>
    <w:rsid w:val="002867B6"/>
    <w:rsid w:val="0028686B"/>
    <w:rsid w:val="00295FF7"/>
    <w:rsid w:val="002B2FA1"/>
    <w:rsid w:val="002B78C5"/>
    <w:rsid w:val="002C1F3A"/>
    <w:rsid w:val="002C3899"/>
    <w:rsid w:val="002C7BBC"/>
    <w:rsid w:val="002F57BF"/>
    <w:rsid w:val="00304C28"/>
    <w:rsid w:val="00306785"/>
    <w:rsid w:val="0031053C"/>
    <w:rsid w:val="00310733"/>
    <w:rsid w:val="00312618"/>
    <w:rsid w:val="0032041B"/>
    <w:rsid w:val="00321F2E"/>
    <w:rsid w:val="00326D78"/>
    <w:rsid w:val="00342135"/>
    <w:rsid w:val="00353385"/>
    <w:rsid w:val="0037469D"/>
    <w:rsid w:val="00377385"/>
    <w:rsid w:val="0038035E"/>
    <w:rsid w:val="0039301E"/>
    <w:rsid w:val="003A55CD"/>
    <w:rsid w:val="003A7458"/>
    <w:rsid w:val="003B2A1C"/>
    <w:rsid w:val="003B641A"/>
    <w:rsid w:val="003B7D4E"/>
    <w:rsid w:val="003C166F"/>
    <w:rsid w:val="003C26C7"/>
    <w:rsid w:val="003C5335"/>
    <w:rsid w:val="003D2AAB"/>
    <w:rsid w:val="003D4B38"/>
    <w:rsid w:val="003D5A82"/>
    <w:rsid w:val="003D624F"/>
    <w:rsid w:val="003E3ECC"/>
    <w:rsid w:val="003F3BAB"/>
    <w:rsid w:val="00400EBF"/>
    <w:rsid w:val="0041317D"/>
    <w:rsid w:val="00421CD7"/>
    <w:rsid w:val="00436233"/>
    <w:rsid w:val="00436AD5"/>
    <w:rsid w:val="00443D2E"/>
    <w:rsid w:val="004655B7"/>
    <w:rsid w:val="0047075A"/>
    <w:rsid w:val="00477CC0"/>
    <w:rsid w:val="004800A2"/>
    <w:rsid w:val="0048178F"/>
    <w:rsid w:val="00487483"/>
    <w:rsid w:val="0049097D"/>
    <w:rsid w:val="0049294F"/>
    <w:rsid w:val="00493B32"/>
    <w:rsid w:val="00496A2C"/>
    <w:rsid w:val="004A7E91"/>
    <w:rsid w:val="004B5717"/>
    <w:rsid w:val="004D1E95"/>
    <w:rsid w:val="004D7F53"/>
    <w:rsid w:val="004E0515"/>
    <w:rsid w:val="004E2105"/>
    <w:rsid w:val="00505A93"/>
    <w:rsid w:val="00505FCD"/>
    <w:rsid w:val="00524381"/>
    <w:rsid w:val="005468C6"/>
    <w:rsid w:val="0055182F"/>
    <w:rsid w:val="00563CAC"/>
    <w:rsid w:val="00566EC9"/>
    <w:rsid w:val="00576957"/>
    <w:rsid w:val="00582C6D"/>
    <w:rsid w:val="00584773"/>
    <w:rsid w:val="00595295"/>
    <w:rsid w:val="005958F2"/>
    <w:rsid w:val="005B4475"/>
    <w:rsid w:val="005B5FDC"/>
    <w:rsid w:val="005D1328"/>
    <w:rsid w:val="005D192F"/>
    <w:rsid w:val="005D3089"/>
    <w:rsid w:val="005E0307"/>
    <w:rsid w:val="005F4FF1"/>
    <w:rsid w:val="005F524F"/>
    <w:rsid w:val="005F5FC9"/>
    <w:rsid w:val="005F7A7C"/>
    <w:rsid w:val="00615FC5"/>
    <w:rsid w:val="00627F54"/>
    <w:rsid w:val="006325DD"/>
    <w:rsid w:val="006337E6"/>
    <w:rsid w:val="00635A4C"/>
    <w:rsid w:val="00657080"/>
    <w:rsid w:val="00663A54"/>
    <w:rsid w:val="006A44E4"/>
    <w:rsid w:val="006A5306"/>
    <w:rsid w:val="006A56A6"/>
    <w:rsid w:val="006A592B"/>
    <w:rsid w:val="006B5D1A"/>
    <w:rsid w:val="006C35F9"/>
    <w:rsid w:val="006C7005"/>
    <w:rsid w:val="006D0A97"/>
    <w:rsid w:val="006D6B7E"/>
    <w:rsid w:val="006F5671"/>
    <w:rsid w:val="00701645"/>
    <w:rsid w:val="00703248"/>
    <w:rsid w:val="00710685"/>
    <w:rsid w:val="007106DA"/>
    <w:rsid w:val="00722EF2"/>
    <w:rsid w:val="007343FE"/>
    <w:rsid w:val="00735D33"/>
    <w:rsid w:val="0073700C"/>
    <w:rsid w:val="00743264"/>
    <w:rsid w:val="00747E3C"/>
    <w:rsid w:val="0077292E"/>
    <w:rsid w:val="00775D21"/>
    <w:rsid w:val="00781DC0"/>
    <w:rsid w:val="00785646"/>
    <w:rsid w:val="0078779D"/>
    <w:rsid w:val="0079282C"/>
    <w:rsid w:val="007A569E"/>
    <w:rsid w:val="007B01E1"/>
    <w:rsid w:val="007B13CD"/>
    <w:rsid w:val="007B42B9"/>
    <w:rsid w:val="007B6472"/>
    <w:rsid w:val="007C3013"/>
    <w:rsid w:val="007F5C5A"/>
    <w:rsid w:val="00825DDF"/>
    <w:rsid w:val="008279B1"/>
    <w:rsid w:val="00832233"/>
    <w:rsid w:val="00832948"/>
    <w:rsid w:val="00834B27"/>
    <w:rsid w:val="0084082F"/>
    <w:rsid w:val="00861161"/>
    <w:rsid w:val="00875CD6"/>
    <w:rsid w:val="0088157B"/>
    <w:rsid w:val="00883A36"/>
    <w:rsid w:val="00884327"/>
    <w:rsid w:val="00884FD7"/>
    <w:rsid w:val="00890901"/>
    <w:rsid w:val="008A0BDE"/>
    <w:rsid w:val="008A178A"/>
    <w:rsid w:val="008A1CBC"/>
    <w:rsid w:val="008C4755"/>
    <w:rsid w:val="008F17AD"/>
    <w:rsid w:val="00917EEE"/>
    <w:rsid w:val="00920B48"/>
    <w:rsid w:val="00943B29"/>
    <w:rsid w:val="00944218"/>
    <w:rsid w:val="00944C36"/>
    <w:rsid w:val="0096475A"/>
    <w:rsid w:val="0096512F"/>
    <w:rsid w:val="00971093"/>
    <w:rsid w:val="009758F3"/>
    <w:rsid w:val="009808C5"/>
    <w:rsid w:val="0098645C"/>
    <w:rsid w:val="00995FB6"/>
    <w:rsid w:val="009A5755"/>
    <w:rsid w:val="009A6FCB"/>
    <w:rsid w:val="009C2AD8"/>
    <w:rsid w:val="009E44D9"/>
    <w:rsid w:val="009F0016"/>
    <w:rsid w:val="00A0773A"/>
    <w:rsid w:val="00A07EE9"/>
    <w:rsid w:val="00A1115C"/>
    <w:rsid w:val="00A1669F"/>
    <w:rsid w:val="00A20CF4"/>
    <w:rsid w:val="00A2273F"/>
    <w:rsid w:val="00A237AD"/>
    <w:rsid w:val="00A3455F"/>
    <w:rsid w:val="00A35AEA"/>
    <w:rsid w:val="00A37090"/>
    <w:rsid w:val="00A40DE0"/>
    <w:rsid w:val="00A41457"/>
    <w:rsid w:val="00A47464"/>
    <w:rsid w:val="00A700D8"/>
    <w:rsid w:val="00A71D65"/>
    <w:rsid w:val="00A75BCD"/>
    <w:rsid w:val="00A77275"/>
    <w:rsid w:val="00A92091"/>
    <w:rsid w:val="00A92696"/>
    <w:rsid w:val="00A95393"/>
    <w:rsid w:val="00AA1568"/>
    <w:rsid w:val="00AA38D4"/>
    <w:rsid w:val="00AB66D5"/>
    <w:rsid w:val="00AC0A1E"/>
    <w:rsid w:val="00AC39C8"/>
    <w:rsid w:val="00AC4C51"/>
    <w:rsid w:val="00AD2D2B"/>
    <w:rsid w:val="00AD3445"/>
    <w:rsid w:val="00AE7B90"/>
    <w:rsid w:val="00B165FB"/>
    <w:rsid w:val="00B27E13"/>
    <w:rsid w:val="00B55748"/>
    <w:rsid w:val="00B569B1"/>
    <w:rsid w:val="00B658BE"/>
    <w:rsid w:val="00B7693D"/>
    <w:rsid w:val="00B86D59"/>
    <w:rsid w:val="00B918EC"/>
    <w:rsid w:val="00B92809"/>
    <w:rsid w:val="00B93584"/>
    <w:rsid w:val="00BB656D"/>
    <w:rsid w:val="00BC4638"/>
    <w:rsid w:val="00BC6E04"/>
    <w:rsid w:val="00BD203E"/>
    <w:rsid w:val="00BD5263"/>
    <w:rsid w:val="00BD6F48"/>
    <w:rsid w:val="00BE4BBE"/>
    <w:rsid w:val="00BF0D2D"/>
    <w:rsid w:val="00BF4043"/>
    <w:rsid w:val="00C06BCD"/>
    <w:rsid w:val="00C138DE"/>
    <w:rsid w:val="00C40637"/>
    <w:rsid w:val="00C6144E"/>
    <w:rsid w:val="00C65A5F"/>
    <w:rsid w:val="00C73CEB"/>
    <w:rsid w:val="00CA0C12"/>
    <w:rsid w:val="00CB7C07"/>
    <w:rsid w:val="00CC68E7"/>
    <w:rsid w:val="00CC6E02"/>
    <w:rsid w:val="00CD4CDE"/>
    <w:rsid w:val="00CE4C30"/>
    <w:rsid w:val="00D27AEE"/>
    <w:rsid w:val="00D35E53"/>
    <w:rsid w:val="00D41162"/>
    <w:rsid w:val="00D46F41"/>
    <w:rsid w:val="00D567DB"/>
    <w:rsid w:val="00D859CE"/>
    <w:rsid w:val="00DA2483"/>
    <w:rsid w:val="00DC04C1"/>
    <w:rsid w:val="00DD46CE"/>
    <w:rsid w:val="00DD4B72"/>
    <w:rsid w:val="00DF5A33"/>
    <w:rsid w:val="00E03B0F"/>
    <w:rsid w:val="00E07BBC"/>
    <w:rsid w:val="00E115EE"/>
    <w:rsid w:val="00E14EDC"/>
    <w:rsid w:val="00E2333B"/>
    <w:rsid w:val="00E2584A"/>
    <w:rsid w:val="00E35F57"/>
    <w:rsid w:val="00E62843"/>
    <w:rsid w:val="00E67213"/>
    <w:rsid w:val="00E73E27"/>
    <w:rsid w:val="00E80579"/>
    <w:rsid w:val="00EB0B05"/>
    <w:rsid w:val="00EB2572"/>
    <w:rsid w:val="00EB3A71"/>
    <w:rsid w:val="00EB6EEA"/>
    <w:rsid w:val="00EC3201"/>
    <w:rsid w:val="00ED09C3"/>
    <w:rsid w:val="00EE057B"/>
    <w:rsid w:val="00EE301A"/>
    <w:rsid w:val="00EF4A3F"/>
    <w:rsid w:val="00F05639"/>
    <w:rsid w:val="00F20028"/>
    <w:rsid w:val="00F22CFE"/>
    <w:rsid w:val="00F32758"/>
    <w:rsid w:val="00F32D9F"/>
    <w:rsid w:val="00F52A48"/>
    <w:rsid w:val="00F5505C"/>
    <w:rsid w:val="00F57F37"/>
    <w:rsid w:val="00F80047"/>
    <w:rsid w:val="00F84128"/>
    <w:rsid w:val="00F93F37"/>
    <w:rsid w:val="00F94477"/>
    <w:rsid w:val="00FB1ADB"/>
    <w:rsid w:val="00FB73F1"/>
    <w:rsid w:val="00FD53F4"/>
    <w:rsid w:val="00FE144C"/>
    <w:rsid w:val="1B344884"/>
    <w:rsid w:val="44476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4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3B641A"/>
    <w:rPr>
      <w:kern w:val="2"/>
      <w:sz w:val="18"/>
      <w:szCs w:val="18"/>
    </w:rPr>
  </w:style>
  <w:style w:type="character" w:styleId="a4">
    <w:name w:val="page number"/>
    <w:basedOn w:val="a0"/>
    <w:rsid w:val="003B641A"/>
  </w:style>
  <w:style w:type="character" w:styleId="a5">
    <w:name w:val="Hyperlink"/>
    <w:basedOn w:val="a0"/>
    <w:rsid w:val="003B641A"/>
    <w:rPr>
      <w:rFonts w:ascii="ˎ̥" w:hAnsi="ˎ̥" w:hint="default"/>
      <w:strike w:val="0"/>
      <w:dstrike w:val="0"/>
      <w:color w:val="000000"/>
      <w:sz w:val="18"/>
      <w:szCs w:val="18"/>
      <w:u w:val="none"/>
    </w:rPr>
  </w:style>
  <w:style w:type="character" w:customStyle="1" w:styleId="Char0">
    <w:name w:val="页脚 Char"/>
    <w:basedOn w:val="a0"/>
    <w:link w:val="a6"/>
    <w:rsid w:val="003B641A"/>
    <w:rPr>
      <w:kern w:val="2"/>
      <w:sz w:val="18"/>
      <w:szCs w:val="18"/>
    </w:rPr>
  </w:style>
  <w:style w:type="paragraph" w:styleId="a7">
    <w:name w:val="Balloon Text"/>
    <w:basedOn w:val="a"/>
    <w:semiHidden/>
    <w:rsid w:val="003B641A"/>
    <w:rPr>
      <w:sz w:val="18"/>
      <w:szCs w:val="18"/>
    </w:rPr>
  </w:style>
  <w:style w:type="paragraph" w:styleId="a3">
    <w:name w:val="header"/>
    <w:basedOn w:val="a"/>
    <w:link w:val="Char"/>
    <w:rsid w:val="003B641A"/>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3B641A"/>
    <w:pPr>
      <w:tabs>
        <w:tab w:val="center" w:pos="4153"/>
        <w:tab w:val="right" w:pos="8306"/>
      </w:tabs>
      <w:snapToGrid w:val="0"/>
      <w:jc w:val="left"/>
    </w:pPr>
    <w:rPr>
      <w:sz w:val="18"/>
      <w:szCs w:val="18"/>
    </w:rPr>
  </w:style>
  <w:style w:type="paragraph" w:styleId="a8">
    <w:name w:val="Normal (Web)"/>
    <w:basedOn w:val="a"/>
    <w:uiPriority w:val="99"/>
    <w:unhideWhenUsed/>
    <w:rsid w:val="003B641A"/>
    <w:pPr>
      <w:widowControl/>
      <w:spacing w:before="100" w:beforeAutospacing="1" w:after="100" w:afterAutospacing="1"/>
      <w:jc w:val="left"/>
    </w:pPr>
    <w:rPr>
      <w:rFonts w:ascii="宋体" w:hAnsi="宋体" w:cs="宋体"/>
      <w:kern w:val="0"/>
      <w:sz w:val="24"/>
    </w:rPr>
  </w:style>
  <w:style w:type="paragraph" w:customStyle="1" w:styleId="Default">
    <w:name w:val="Default"/>
    <w:rsid w:val="003B641A"/>
    <w:pPr>
      <w:widowControl w:val="0"/>
      <w:autoSpaceDE w:val="0"/>
      <w:autoSpaceDN w:val="0"/>
      <w:adjustRightInd w:val="0"/>
    </w:pPr>
    <w:rPr>
      <w:rFonts w:ascii="宋体" w:hAnsi="宋体" w:cs="宋体"/>
      <w:color w:val="000000"/>
      <w:sz w:val="24"/>
      <w:szCs w:val="24"/>
    </w:rPr>
  </w:style>
  <w:style w:type="table" w:styleId="a9">
    <w:name w:val="Table Grid"/>
    <w:basedOn w:val="a1"/>
    <w:rsid w:val="003B6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846856">
      <w:bodyDiv w:val="1"/>
      <w:marLeft w:val="0"/>
      <w:marRight w:val="0"/>
      <w:marTop w:val="0"/>
      <w:marBottom w:val="0"/>
      <w:divBdr>
        <w:top w:val="none" w:sz="0" w:space="0" w:color="auto"/>
        <w:left w:val="none" w:sz="0" w:space="0" w:color="auto"/>
        <w:bottom w:val="none" w:sz="0" w:space="0" w:color="auto"/>
        <w:right w:val="none" w:sz="0" w:space="0" w:color="auto"/>
      </w:divBdr>
    </w:div>
    <w:div w:id="899368196">
      <w:bodyDiv w:val="1"/>
      <w:marLeft w:val="0"/>
      <w:marRight w:val="0"/>
      <w:marTop w:val="0"/>
      <w:marBottom w:val="0"/>
      <w:divBdr>
        <w:top w:val="none" w:sz="0" w:space="0" w:color="auto"/>
        <w:left w:val="none" w:sz="0" w:space="0" w:color="auto"/>
        <w:bottom w:val="none" w:sz="0" w:space="0" w:color="auto"/>
        <w:right w:val="none" w:sz="0" w:space="0" w:color="auto"/>
      </w:divBdr>
    </w:div>
    <w:div w:id="937175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14</Pages>
  <Words>1454</Words>
  <Characters>8292</Characters>
  <Application>Microsoft Office Word</Application>
  <DocSecurity>0</DocSecurity>
  <PresentationFormat/>
  <Lines>69</Lines>
  <Paragraphs>19</Paragraphs>
  <Slides>0</Slides>
  <Notes>0</Notes>
  <HiddenSlides>0</HiddenSlides>
  <MMClips>0</MMClips>
  <ScaleCrop>false</ScaleCrop>
  <Company>MC SYSTEM</Company>
  <LinksUpToDate>false</LinksUpToDate>
  <CharactersWithSpaces>9727</CharactersWithSpaces>
  <SharedDoc>false</SharedDoc>
  <HLinks>
    <vt:vector size="12" baseType="variant">
      <vt:variant>
        <vt:i4>8126589</vt:i4>
      </vt:variant>
      <vt:variant>
        <vt:i4>3</vt:i4>
      </vt:variant>
      <vt:variant>
        <vt:i4>0</vt:i4>
      </vt:variant>
      <vt:variant>
        <vt:i4>5</vt:i4>
      </vt:variant>
      <vt:variant>
        <vt:lpwstr>http://sy.cxxy.seu.edu.cn/js/ShowXmCg.aspx?ItemNo=42D9032A9E73526B</vt:lpwstr>
      </vt:variant>
      <vt:variant>
        <vt:lpwstr/>
      </vt:variant>
      <vt:variant>
        <vt:i4>2293874</vt:i4>
      </vt:variant>
      <vt:variant>
        <vt:i4>0</vt:i4>
      </vt:variant>
      <vt:variant>
        <vt:i4>0</vt:i4>
      </vt:variant>
      <vt:variant>
        <vt:i4>5</vt:i4>
      </vt:variant>
      <vt:variant>
        <vt:lpwstr>http://sy.cxxy.seu.edu.cn/js/ShowXmCg.aspx?ItemNo=0AE1E103B25BEDBF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山东大学2010年本科教学质量报告</dc:title>
  <dc:creator>黄春平</dc:creator>
  <cp:lastModifiedBy>hp</cp:lastModifiedBy>
  <cp:revision>8</cp:revision>
  <cp:lastPrinted>2016-11-07T02:17:00Z</cp:lastPrinted>
  <dcterms:created xsi:type="dcterms:W3CDTF">2018-10-30T00:44:00Z</dcterms:created>
  <dcterms:modified xsi:type="dcterms:W3CDTF">2018-10-30T05:57:00Z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